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p>
    <w:p>
      <w:pPr>
        <w:pStyle w:val="style0"/>
        <w:spacing w:lineRule="auto" w:line="480"/>
        <w:ind w:firstLine="567"/>
        <w:jc w:val="center"/>
        <w:rPr>
          <w:rFonts w:ascii="Times New Roman" w:cs="Times New Roman" w:hAnsi="Times New Roman"/>
          <w:b/>
          <w:sz w:val="24"/>
          <w:szCs w:val="24"/>
        </w:rPr>
      </w:pPr>
      <w:r>
        <w:rPr>
          <w:rFonts w:ascii="Times New Roman" w:cs="Times New Roman" w:hAnsi="Times New Roman"/>
          <w:b/>
          <w:sz w:val="24"/>
          <w:szCs w:val="24"/>
        </w:rPr>
        <w:t>Global Market Entry Strateg</w:t>
      </w:r>
      <w:r>
        <w:rPr>
          <w:rFonts w:ascii="Times New Roman" w:cs="Times New Roman" w:hAnsi="Times New Roman"/>
          <w:b/>
          <w:sz w:val="24"/>
          <w:szCs w:val="24"/>
          <w:lang w:val="en-US"/>
        </w:rPr>
        <w:t xml:space="preserve">ies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Global</w:t>
      </w:r>
      <w:r>
        <w:rPr>
          <w:rFonts w:ascii="Times New Roman" w:cs="Times New Roman" w:hAnsi="Times New Roman"/>
          <w:b/>
          <w:sz w:val="24"/>
          <w:szCs w:val="24"/>
        </w:rPr>
        <w:t xml:space="preserve"> Market Entry Strateg</w:t>
      </w:r>
      <w:r>
        <w:rPr>
          <w:rFonts w:ascii="Times New Roman" w:cs="Times New Roman" w:hAnsi="Times New Roman"/>
          <w:b/>
          <w:sz w:val="24"/>
          <w:szCs w:val="24"/>
          <w:lang w:val="en-US"/>
        </w:rPr>
        <w:t xml:space="preserve">ies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Introduction</w:t>
      </w:r>
    </w:p>
    <w:p>
      <w:pPr>
        <w:pStyle w:val="style94"/>
        <w:spacing w:lineRule="auto" w:line="480"/>
        <w:rPr/>
      </w:pPr>
      <w:r>
        <w:t>It is no news that global market entry strategy for non-profit organizations presents immense challenges. The problem is, those in control is easily ignored this in the non-profit world. The reason is</w:t>
      </w:r>
      <w:r>
        <w:t>,</w:t>
      </w:r>
      <w:r>
        <w:t xml:space="preserve"> most non-profit managers believe that their exemplary work will market itself. This is a very unrealistic assumption. Research must be made on their part in order to deliver an effective global market entry strategy for these non-profit organizations. Non-profit organization management must understand this challenge and take a proactive position or their organization. Managers and planners must apply a global market strategy that will position their organizations for excellence.</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A </w:t>
      </w:r>
      <w:r>
        <w:rPr>
          <w:rFonts w:ascii="Times New Roman" w:cs="Times New Roman" w:hAnsi="Times New Roman"/>
          <w:sz w:val="24"/>
          <w:szCs w:val="24"/>
        </w:rPr>
        <w:t>non-profit</w:t>
      </w:r>
      <w:r>
        <w:rPr>
          <w:rFonts w:ascii="Times New Roman" w:cs="Times New Roman" w:hAnsi="Times New Roman"/>
          <w:sz w:val="24"/>
          <w:szCs w:val="24"/>
        </w:rPr>
        <w:t xml:space="preserve"> organization </w:t>
      </w:r>
      <w:r>
        <w:rPr>
          <w:rFonts w:ascii="Times New Roman" w:cs="Times New Roman" w:hAnsi="Times New Roman"/>
          <w:sz w:val="24"/>
          <w:szCs w:val="24"/>
        </w:rPr>
        <w:t xml:space="preserve"> (NPO) </w:t>
      </w:r>
      <w:r>
        <w:rPr>
          <w:rFonts w:ascii="Times New Roman" w:cs="Times New Roman" w:hAnsi="Times New Roman"/>
          <w:sz w:val="24"/>
          <w:szCs w:val="24"/>
        </w:rPr>
        <w:t xml:space="preserve">is, </w:t>
      </w:r>
      <w:r>
        <w:rPr>
          <w:rFonts w:ascii="Times New Roman" w:cs="Times New Roman" w:hAnsi="Times New Roman"/>
          <w:sz w:val="24"/>
          <w:szCs w:val="24"/>
        </w:rPr>
        <w:t xml:space="preserve">is </w:t>
      </w:r>
      <w:r>
        <w:rPr>
          <w:rFonts w:ascii="Times New Roman" w:cs="Times New Roman" w:hAnsi="Times New Roman"/>
          <w:sz w:val="24"/>
          <w:szCs w:val="24"/>
        </w:rPr>
        <w:t>basically, an organization that is ba</w:t>
      </w:r>
      <w:r>
        <w:rPr>
          <w:rFonts w:ascii="Times New Roman" w:cs="Times New Roman" w:hAnsi="Times New Roman"/>
          <w:sz w:val="24"/>
          <w:szCs w:val="24"/>
        </w:rPr>
        <w:t>rre</w:t>
      </w:r>
      <w:r>
        <w:rPr>
          <w:rFonts w:ascii="Times New Roman" w:cs="Times New Roman" w:hAnsi="Times New Roman"/>
          <w:sz w:val="24"/>
          <w:szCs w:val="24"/>
        </w:rPr>
        <w:t xml:space="preserve">d from appropriating its net profit, assuming any, to people who practice </w:t>
      </w:r>
      <w:r>
        <w:rPr>
          <w:rFonts w:ascii="Times New Roman" w:cs="Times New Roman" w:hAnsi="Times New Roman"/>
          <w:sz w:val="24"/>
          <w:szCs w:val="24"/>
        </w:rPr>
        <w:t>control</w:t>
      </w:r>
      <w:r>
        <w:rPr>
          <w:rFonts w:ascii="Times New Roman" w:cs="Times New Roman" w:hAnsi="Times New Roman"/>
          <w:sz w:val="24"/>
          <w:szCs w:val="24"/>
        </w:rPr>
        <w:t xml:space="preserve"> over it, for example, individuals, officers, chiefs, or trust</w:t>
      </w:r>
      <w:r>
        <w:rPr>
          <w:rFonts w:ascii="Times New Roman" w:cs="Times New Roman" w:hAnsi="Times New Roman"/>
          <w:sz w:val="24"/>
          <w:szCs w:val="24"/>
        </w:rPr>
        <w:t>ees.</w:t>
      </w:r>
      <w:r>
        <w:rPr>
          <w:rFonts w:ascii="Times New Roman" w:cs="Times New Roman" w:hAnsi="Times New Roman"/>
          <w:sz w:val="24"/>
          <w:szCs w:val="24"/>
        </w:rPr>
        <w:t xml:space="preserve"> This does not really impl</w:t>
      </w:r>
      <w:r>
        <w:rPr>
          <w:rFonts w:ascii="Times New Roman" w:cs="Times New Roman" w:hAnsi="Times New Roman"/>
          <w:sz w:val="24"/>
          <w:szCs w:val="24"/>
        </w:rPr>
        <w:t>y</w:t>
      </w:r>
      <w:r>
        <w:rPr>
          <w:rFonts w:ascii="Times New Roman" w:cs="Times New Roman" w:hAnsi="Times New Roman"/>
          <w:sz w:val="24"/>
          <w:szCs w:val="24"/>
        </w:rPr>
        <w:t xml:space="preserve"> that NPOs are not and ought </w:t>
      </w:r>
      <w:r>
        <w:rPr>
          <w:rFonts w:ascii="Times New Roman" w:cs="Times New Roman" w:hAnsi="Times New Roman"/>
          <w:sz w:val="24"/>
          <w:szCs w:val="24"/>
        </w:rPr>
        <w:t>not</w:t>
      </w:r>
      <w:r>
        <w:rPr>
          <w:rFonts w:ascii="Times New Roman" w:cs="Times New Roman" w:hAnsi="Times New Roman"/>
          <w:sz w:val="24"/>
          <w:szCs w:val="24"/>
        </w:rPr>
        <w:t xml:space="preserve"> acquire </w:t>
      </w:r>
      <w:r>
        <w:rPr>
          <w:rFonts w:ascii="Times New Roman" w:cs="Times New Roman" w:hAnsi="Times New Roman"/>
          <w:sz w:val="24"/>
          <w:szCs w:val="24"/>
        </w:rPr>
        <w:t>profit</w:t>
      </w:r>
      <w:r>
        <w:rPr>
          <w:rFonts w:ascii="Times New Roman" w:cs="Times New Roman" w:hAnsi="Times New Roman"/>
          <w:sz w:val="24"/>
          <w:szCs w:val="24"/>
        </w:rPr>
        <w:t>s (</w:t>
      </w:r>
      <w:r>
        <w:rPr>
          <w:rFonts w:ascii="Times New Roman" w:cs="Times New Roman" w:hAnsi="Times New Roman"/>
          <w:sz w:val="24"/>
          <w:szCs w:val="24"/>
        </w:rPr>
        <w:t>Hansmann</w:t>
      </w:r>
      <w:r>
        <w:rPr>
          <w:rFonts w:ascii="Times New Roman" w:cs="Times New Roman" w:hAnsi="Times New Roman"/>
          <w:sz w:val="24"/>
          <w:szCs w:val="24"/>
        </w:rPr>
        <w:t xml:space="preserve">, 1987); rather there is a limitation with regards to </w:t>
      </w:r>
      <w:r>
        <w:rPr>
          <w:rFonts w:ascii="Times New Roman" w:cs="Times New Roman" w:hAnsi="Times New Roman"/>
          <w:sz w:val="24"/>
          <w:szCs w:val="24"/>
        </w:rPr>
        <w:t>profit</w:t>
      </w:r>
      <w:r>
        <w:rPr>
          <w:rFonts w:ascii="Times New Roman" w:cs="Times New Roman" w:hAnsi="Times New Roman"/>
          <w:sz w:val="24"/>
          <w:szCs w:val="24"/>
        </w:rPr>
        <w:t xml:space="preserve"> dissemination (Rose-Ackerman, 1997). With regards to objective setting </w:t>
      </w:r>
      <w:r>
        <w:rPr>
          <w:rFonts w:ascii="Times New Roman" w:cs="Times New Roman" w:hAnsi="Times New Roman"/>
          <w:sz w:val="24"/>
          <w:szCs w:val="24"/>
        </w:rPr>
        <w:t>profit</w:t>
      </w:r>
      <w:r>
        <w:rPr>
          <w:rFonts w:ascii="Times New Roman" w:cs="Times New Roman" w:hAnsi="Times New Roman"/>
          <w:sz w:val="24"/>
          <w:szCs w:val="24"/>
        </w:rPr>
        <w:t xml:space="preserve"> situated substances are coordinated by the bigger target of making </w:t>
      </w:r>
      <w:r>
        <w:rPr>
          <w:rFonts w:ascii="Times New Roman" w:cs="Times New Roman" w:hAnsi="Times New Roman"/>
          <w:sz w:val="24"/>
          <w:szCs w:val="24"/>
        </w:rPr>
        <w:t>profit</w:t>
      </w:r>
      <w:r>
        <w:rPr>
          <w:rFonts w:ascii="Times New Roman" w:cs="Times New Roman" w:hAnsi="Times New Roman"/>
          <w:sz w:val="24"/>
          <w:szCs w:val="24"/>
        </w:rPr>
        <w:t xml:space="preserve">s (Porter, 1985). NPOs </w:t>
      </w:r>
      <w:r>
        <w:rPr>
          <w:rFonts w:ascii="Times New Roman" w:cs="Times New Roman" w:hAnsi="Times New Roman"/>
          <w:sz w:val="24"/>
          <w:szCs w:val="24"/>
        </w:rPr>
        <w:t>however,</w:t>
      </w:r>
      <w:r>
        <w:rPr>
          <w:rFonts w:ascii="Times New Roman" w:cs="Times New Roman" w:hAnsi="Times New Roman"/>
          <w:sz w:val="24"/>
          <w:szCs w:val="24"/>
        </w:rPr>
        <w:t xml:space="preserve"> have significantly more extensive and more muddled destinations which make them considerably </w:t>
      </w:r>
      <w:r>
        <w:rPr>
          <w:rFonts w:ascii="Times New Roman" w:cs="Times New Roman" w:hAnsi="Times New Roman"/>
          <w:sz w:val="24"/>
          <w:szCs w:val="24"/>
        </w:rPr>
        <w:t>difficult</w:t>
      </w:r>
      <w:r>
        <w:rPr>
          <w:rFonts w:ascii="Times New Roman" w:cs="Times New Roman" w:hAnsi="Times New Roman"/>
          <w:sz w:val="24"/>
          <w:szCs w:val="24"/>
        </w:rPr>
        <w:t xml:space="preserve"> to understand, also dissimilar to in for-</w:t>
      </w:r>
      <w:r>
        <w:rPr>
          <w:rFonts w:ascii="Times New Roman" w:cs="Times New Roman" w:hAnsi="Times New Roman"/>
          <w:sz w:val="24"/>
          <w:szCs w:val="24"/>
        </w:rPr>
        <w:t>profit</w:t>
      </w:r>
      <w:r>
        <w:rPr>
          <w:rFonts w:ascii="Times New Roman" w:cs="Times New Roman" w:hAnsi="Times New Roman"/>
          <w:sz w:val="24"/>
          <w:szCs w:val="24"/>
        </w:rPr>
        <w:t>s, on account of the nonattendance of legitimate proprietorship; NPOs must be base up situated in their target and objective setting (</w:t>
      </w:r>
      <w:r>
        <w:rPr>
          <w:rFonts w:ascii="Times New Roman" w:cs="Times New Roman" w:hAnsi="Times New Roman"/>
          <w:sz w:val="24"/>
          <w:szCs w:val="24"/>
        </w:rPr>
        <w:t>Speckbacher</w:t>
      </w:r>
      <w:r>
        <w:rPr>
          <w:rFonts w:ascii="Times New Roman" w:cs="Times New Roman" w:hAnsi="Times New Roman"/>
          <w:sz w:val="24"/>
          <w:szCs w:val="24"/>
        </w:rPr>
        <w:t>, 2003). This dist</w:t>
      </w:r>
      <w:r>
        <w:rPr>
          <w:rFonts w:ascii="Times New Roman" w:cs="Times New Roman" w:hAnsi="Times New Roman"/>
          <w:sz w:val="24"/>
          <w:szCs w:val="24"/>
        </w:rPr>
        <w:t>inction in missions; maximizing profit</w:t>
      </w:r>
      <w:r>
        <w:rPr>
          <w:rFonts w:ascii="Times New Roman" w:cs="Times New Roman" w:hAnsi="Times New Roman"/>
          <w:sz w:val="24"/>
          <w:szCs w:val="24"/>
        </w:rPr>
        <w:t>s and expanding social advantages make the central contrast</w:t>
      </w:r>
      <w:r>
        <w:rPr>
          <w:rFonts w:ascii="Times New Roman" w:cs="Times New Roman" w:hAnsi="Times New Roman"/>
          <w:sz w:val="24"/>
          <w:szCs w:val="24"/>
        </w:rPr>
        <w:t xml:space="preserve"> between for-</w:t>
      </w:r>
      <w:r>
        <w:rPr>
          <w:rFonts w:ascii="Times New Roman" w:cs="Times New Roman" w:hAnsi="Times New Roman"/>
          <w:sz w:val="24"/>
          <w:szCs w:val="24"/>
        </w:rPr>
        <w:t>profit</w:t>
      </w:r>
      <w:r>
        <w:rPr>
          <w:rFonts w:ascii="Times New Roman" w:cs="Times New Roman" w:hAnsi="Times New Roman"/>
          <w:sz w:val="24"/>
          <w:szCs w:val="24"/>
        </w:rPr>
        <w:t>s and NPOs</w:t>
      </w:r>
      <w:r>
        <w:rPr>
          <w:rFonts w:ascii="Times New Roman" w:cs="Times New Roman" w:hAnsi="Times New Roman"/>
          <w:sz w:val="24"/>
          <w:szCs w:val="24"/>
        </w:rPr>
        <w:t>. Missions</w:t>
      </w:r>
      <w:r>
        <w:rPr>
          <w:rFonts w:ascii="Times New Roman" w:cs="Times New Roman" w:hAnsi="Times New Roman"/>
          <w:sz w:val="24"/>
          <w:szCs w:val="24"/>
        </w:rPr>
        <w:t xml:space="preserve"> of NPOs can incorporate genera development</w:t>
      </w:r>
      <w:r>
        <w:rPr>
          <w:rFonts w:ascii="Times New Roman" w:cs="Times New Roman" w:hAnsi="Times New Roman"/>
          <w:sz w:val="24"/>
          <w:szCs w:val="24"/>
        </w:rPr>
        <w:t xml:space="preserve">, training, farming, financial advancement, </w:t>
      </w:r>
      <w:r>
        <w:rPr>
          <w:rFonts w:ascii="Times New Roman" w:cs="Times New Roman" w:hAnsi="Times New Roman"/>
          <w:sz w:val="24"/>
          <w:szCs w:val="24"/>
        </w:rPr>
        <w:t>democracy</w:t>
      </w:r>
      <w:r>
        <w:rPr>
          <w:rFonts w:ascii="Times New Roman" w:cs="Times New Roman" w:hAnsi="Times New Roman"/>
          <w:sz w:val="24"/>
          <w:szCs w:val="24"/>
        </w:rPr>
        <w:t>, science and innovation, condition, human ri</w:t>
      </w:r>
      <w:r>
        <w:rPr>
          <w:rFonts w:ascii="Times New Roman" w:cs="Times New Roman" w:hAnsi="Times New Roman"/>
          <w:sz w:val="24"/>
          <w:szCs w:val="24"/>
        </w:rPr>
        <w:t>ghts, wellbeing, and so forth</w:t>
      </w:r>
      <w:r>
        <w:rPr>
          <w:rFonts w:ascii="Times New Roman" w:cs="Times New Roman" w:hAnsi="Times New Roman"/>
          <w:sz w:val="24"/>
          <w:szCs w:val="24"/>
        </w:rPr>
        <w:t xml:space="preserve">. </w:t>
      </w:r>
      <w:r>
        <w:rPr>
          <w:rFonts w:ascii="Times New Roman" w:cs="Times New Roman" w:hAnsi="Times New Roman"/>
          <w:sz w:val="24"/>
          <w:szCs w:val="24"/>
        </w:rPr>
        <w:t>Hansmann</w:t>
      </w:r>
      <w:r>
        <w:rPr>
          <w:rFonts w:ascii="Times New Roman" w:cs="Times New Roman" w:hAnsi="Times New Roman"/>
          <w:sz w:val="24"/>
          <w:szCs w:val="24"/>
        </w:rPr>
        <w:t xml:space="preserve"> (1980) likewise presents two primary bases for sorting not-for-profit firms; </w:t>
      </w:r>
      <w:r>
        <w:rPr>
          <w:rFonts w:ascii="Times New Roman" w:cs="Times New Roman" w:hAnsi="Times New Roman"/>
          <w:sz w:val="24"/>
          <w:szCs w:val="24"/>
        </w:rPr>
        <w:t xml:space="preserve">financing and control. Accounts for a charitable firm can originate from gifts or business activities, control then again should likewise be possible by supporters of the common </w:t>
      </w:r>
      <w:r>
        <w:rPr>
          <w:rFonts w:ascii="Times New Roman" w:cs="Times New Roman" w:hAnsi="Times New Roman"/>
          <w:sz w:val="24"/>
          <w:szCs w:val="24"/>
        </w:rPr>
        <w:t>non-profit</w:t>
      </w:r>
      <w:r>
        <w:rPr>
          <w:rFonts w:ascii="Times New Roman" w:cs="Times New Roman" w:hAnsi="Times New Roman"/>
          <w:sz w:val="24"/>
          <w:szCs w:val="24"/>
        </w:rPr>
        <w:t xml:space="preserve"> or by a more master group on account of an enterprising not-for-profit.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Problem Description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R</w:t>
      </w:r>
      <w:r>
        <w:rPr>
          <w:rFonts w:ascii="Times New Roman" w:cs="Times New Roman" w:hAnsi="Times New Roman"/>
          <w:sz w:val="24"/>
          <w:szCs w:val="24"/>
        </w:rPr>
        <w:t xml:space="preserve">egardless of the regularly expanding number of </w:t>
      </w:r>
      <w:r>
        <w:rPr>
          <w:rFonts w:ascii="Times New Roman" w:cs="Times New Roman" w:hAnsi="Times New Roman"/>
          <w:sz w:val="24"/>
          <w:szCs w:val="24"/>
        </w:rPr>
        <w:t>international</w:t>
      </w:r>
      <w:r>
        <w:rPr>
          <w:rFonts w:ascii="Times New Roman" w:cs="Times New Roman" w:hAnsi="Times New Roman"/>
          <w:sz w:val="24"/>
          <w:szCs w:val="24"/>
        </w:rPr>
        <w:t xml:space="preserve"> non-</w:t>
      </w:r>
      <w:r>
        <w:rPr>
          <w:rFonts w:ascii="Times New Roman" w:cs="Times New Roman" w:hAnsi="Times New Roman"/>
          <w:sz w:val="24"/>
          <w:szCs w:val="24"/>
        </w:rPr>
        <w:t>governmenta</w:t>
      </w:r>
      <w:r>
        <w:rPr>
          <w:rFonts w:ascii="Times New Roman" w:cs="Times New Roman" w:hAnsi="Times New Roman"/>
          <w:sz w:val="24"/>
          <w:szCs w:val="24"/>
        </w:rPr>
        <w:t>l</w:t>
      </w:r>
      <w:r>
        <w:rPr>
          <w:rFonts w:ascii="Times New Roman" w:cs="Times New Roman" w:hAnsi="Times New Roman"/>
          <w:sz w:val="24"/>
          <w:szCs w:val="24"/>
        </w:rPr>
        <w:t xml:space="preserve"> organizations (NGOs) and the extension of existing </w:t>
      </w:r>
      <w:r>
        <w:rPr>
          <w:rFonts w:ascii="Times New Roman" w:cs="Times New Roman" w:hAnsi="Times New Roman"/>
          <w:sz w:val="24"/>
          <w:szCs w:val="24"/>
        </w:rPr>
        <w:t>global</w:t>
      </w:r>
      <w:r>
        <w:rPr>
          <w:rFonts w:ascii="Times New Roman" w:cs="Times New Roman" w:hAnsi="Times New Roman"/>
          <w:sz w:val="24"/>
          <w:szCs w:val="24"/>
        </w:rPr>
        <w:t xml:space="preserve"> NGOs' exercises, the wonder of the 'internationalization' of NGOs is only som</w:t>
      </w:r>
      <w:r>
        <w:rPr>
          <w:rFonts w:ascii="Times New Roman" w:cs="Times New Roman" w:hAnsi="Times New Roman"/>
          <w:sz w:val="24"/>
          <w:szCs w:val="24"/>
        </w:rPr>
        <w:t>etimes considered by scholars</w:t>
      </w:r>
      <w:r>
        <w:rPr>
          <w:rFonts w:ascii="Times New Roman" w:cs="Times New Roman" w:hAnsi="Times New Roman"/>
          <w:sz w:val="24"/>
          <w:szCs w:val="24"/>
        </w:rPr>
        <w:t xml:space="preserve"> (</w:t>
      </w:r>
      <w:r>
        <w:rPr>
          <w:rFonts w:ascii="Times New Roman" w:cs="Times New Roman" w:hAnsi="Times New Roman"/>
          <w:sz w:val="24"/>
          <w:szCs w:val="24"/>
        </w:rPr>
        <w:t>Siméant</w:t>
      </w:r>
      <w:r>
        <w:rPr>
          <w:rFonts w:ascii="Times New Roman" w:cs="Times New Roman" w:hAnsi="Times New Roman"/>
          <w:sz w:val="24"/>
          <w:szCs w:val="24"/>
        </w:rPr>
        <w:t>, 2005</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Despite the fact that internationalization of firms is a standout amongst the most investigated </w:t>
      </w:r>
      <w:r>
        <w:rPr>
          <w:rFonts w:ascii="Times New Roman" w:cs="Times New Roman" w:hAnsi="Times New Roman"/>
          <w:sz w:val="24"/>
          <w:szCs w:val="24"/>
        </w:rPr>
        <w:t>area</w:t>
      </w:r>
      <w:r>
        <w:rPr>
          <w:rFonts w:ascii="Times New Roman" w:cs="Times New Roman" w:hAnsi="Times New Roman"/>
          <w:sz w:val="24"/>
          <w:szCs w:val="24"/>
        </w:rPr>
        <w:t>s in the field of administration (</w:t>
      </w:r>
      <w:r>
        <w:rPr>
          <w:rFonts w:ascii="Times New Roman" w:cs="Times New Roman" w:hAnsi="Times New Roman"/>
          <w:sz w:val="24"/>
          <w:szCs w:val="24"/>
        </w:rPr>
        <w:t>Canabal</w:t>
      </w:r>
      <w:r>
        <w:rPr>
          <w:rFonts w:ascii="Times New Roman" w:cs="Times New Roman" w:hAnsi="Times New Roman"/>
          <w:sz w:val="24"/>
          <w:szCs w:val="24"/>
        </w:rPr>
        <w:t xml:space="preserve"> and White, 2008; Werner, 2002),"internationalization of the Non</w:t>
      </w:r>
      <w:r>
        <w:rPr>
          <w:rFonts w:ascii="Times New Roman" w:cs="Times New Roman" w:hAnsi="Times New Roman"/>
          <w:sz w:val="24"/>
          <w:szCs w:val="24"/>
        </w:rPr>
        <w:t>-</w:t>
      </w:r>
      <w:r>
        <w:rPr>
          <w:rFonts w:ascii="Times New Roman" w:cs="Times New Roman" w:hAnsi="Times New Roman"/>
          <w:sz w:val="24"/>
          <w:szCs w:val="24"/>
        </w:rPr>
        <w:t xml:space="preserve">profit part have been generally missing from standard </w:t>
      </w:r>
      <w:r>
        <w:rPr>
          <w:rFonts w:ascii="Times New Roman" w:cs="Times New Roman" w:hAnsi="Times New Roman"/>
          <w:sz w:val="24"/>
          <w:szCs w:val="24"/>
        </w:rPr>
        <w:t>management research</w:t>
      </w:r>
      <w:r>
        <w:rPr>
          <w:rFonts w:ascii="Times New Roman" w:cs="Times New Roman" w:hAnsi="Times New Roman"/>
          <w:sz w:val="24"/>
          <w:szCs w:val="24"/>
        </w:rPr>
        <w:t xml:space="preserve"> and stays as an essentially less underst</w:t>
      </w:r>
      <w:r>
        <w:rPr>
          <w:rFonts w:ascii="Times New Roman" w:cs="Times New Roman" w:hAnsi="Times New Roman"/>
          <w:sz w:val="24"/>
          <w:szCs w:val="24"/>
        </w:rPr>
        <w:t>oo</w:t>
      </w:r>
      <w:r>
        <w:rPr>
          <w:rFonts w:ascii="Times New Roman" w:cs="Times New Roman" w:hAnsi="Times New Roman"/>
          <w:sz w:val="24"/>
          <w:szCs w:val="24"/>
        </w:rPr>
        <w:t xml:space="preserve">d division. </w:t>
      </w:r>
      <w:r>
        <w:rPr>
          <w:rFonts w:ascii="Times New Roman" w:cs="Times New Roman" w:hAnsi="Times New Roman"/>
          <w:sz w:val="24"/>
          <w:szCs w:val="24"/>
        </w:rPr>
        <w:t xml:space="preserve">Also </w:t>
      </w:r>
      <w:r>
        <w:rPr>
          <w:rFonts w:ascii="Times New Roman" w:cs="Times New Roman" w:hAnsi="Times New Roman"/>
          <w:sz w:val="24"/>
          <w:szCs w:val="24"/>
        </w:rPr>
        <w:t>even the scholars of globalization have only from time to time taken the idea of the internationalization of Non Profit Organizations (NP</w:t>
      </w:r>
      <w:r>
        <w:rPr>
          <w:rFonts w:ascii="Times New Roman" w:cs="Times New Roman" w:hAnsi="Times New Roman"/>
          <w:sz w:val="24"/>
          <w:szCs w:val="24"/>
        </w:rPr>
        <w:t>Os) into record" (</w:t>
      </w:r>
      <w:r>
        <w:rPr>
          <w:rFonts w:ascii="Times New Roman" w:cs="Times New Roman" w:hAnsi="Times New Roman"/>
          <w:sz w:val="24"/>
          <w:szCs w:val="24"/>
        </w:rPr>
        <w:t>Siméant</w:t>
      </w:r>
      <w:r>
        <w:rPr>
          <w:rFonts w:ascii="Times New Roman" w:cs="Times New Roman" w:hAnsi="Times New Roman"/>
          <w:sz w:val="24"/>
          <w:szCs w:val="24"/>
        </w:rPr>
        <w:t>, 2005</w:t>
      </w:r>
      <w:r>
        <w:rPr>
          <w:rFonts w:ascii="Times New Roman" w:cs="Times New Roman" w:hAnsi="Times New Roman"/>
          <w:sz w:val="24"/>
          <w:szCs w:val="24"/>
        </w:rPr>
        <w:t xml:space="preserve">). This is especially trying for </w:t>
      </w:r>
      <w:r>
        <w:rPr>
          <w:rFonts w:ascii="Times New Roman" w:cs="Times New Roman" w:hAnsi="Times New Roman"/>
          <w:sz w:val="24"/>
          <w:szCs w:val="24"/>
        </w:rPr>
        <w:t>non-profit</w:t>
      </w:r>
      <w:r>
        <w:rPr>
          <w:rFonts w:ascii="Times New Roman" w:cs="Times New Roman" w:hAnsi="Times New Roman"/>
          <w:sz w:val="24"/>
          <w:szCs w:val="24"/>
        </w:rPr>
        <w:t xml:space="preserve"> organizations since they are unmistakable from state and profit driven firms (</w:t>
      </w:r>
      <w:r>
        <w:rPr>
          <w:rFonts w:ascii="Times New Roman" w:cs="Times New Roman" w:hAnsi="Times New Roman"/>
          <w:sz w:val="24"/>
          <w:szCs w:val="24"/>
        </w:rPr>
        <w:t>Hansmann</w:t>
      </w:r>
      <w:r>
        <w:rPr>
          <w:rFonts w:ascii="Times New Roman" w:cs="Times New Roman" w:hAnsi="Times New Roman"/>
          <w:sz w:val="24"/>
          <w:szCs w:val="24"/>
        </w:rPr>
        <w:t xml:space="preserve">, 1987) in their authoritative document, as well as far as their missions, </w:t>
      </w:r>
      <w:r>
        <w:rPr>
          <w:rFonts w:ascii="Times New Roman" w:cs="Times New Roman" w:hAnsi="Times New Roman"/>
          <w:sz w:val="24"/>
          <w:szCs w:val="24"/>
        </w:rPr>
        <w:t>product</w:t>
      </w:r>
      <w:r>
        <w:rPr>
          <w:rFonts w:ascii="Times New Roman" w:cs="Times New Roman" w:hAnsi="Times New Roman"/>
          <w:sz w:val="24"/>
          <w:szCs w:val="24"/>
        </w:rPr>
        <w:t>/</w:t>
      </w:r>
      <w:r>
        <w:rPr>
          <w:rFonts w:ascii="Times New Roman" w:cs="Times New Roman" w:hAnsi="Times New Roman"/>
          <w:sz w:val="24"/>
          <w:szCs w:val="24"/>
        </w:rPr>
        <w:t xml:space="preserve">services </w:t>
      </w:r>
      <w:r>
        <w:rPr>
          <w:rFonts w:ascii="Times New Roman" w:cs="Times New Roman" w:hAnsi="Times New Roman"/>
          <w:sz w:val="24"/>
          <w:szCs w:val="24"/>
        </w:rPr>
        <w:t>offered</w:t>
      </w:r>
      <w:r>
        <w:rPr>
          <w:rFonts w:ascii="Times New Roman" w:cs="Times New Roman" w:hAnsi="Times New Roman"/>
          <w:sz w:val="24"/>
          <w:szCs w:val="24"/>
        </w:rPr>
        <w:t xml:space="preserve"> and their subsidizing systems</w:t>
      </w:r>
      <w:r>
        <w:rPr>
          <w:rFonts w:ascii="Times New Roman" w:cs="Times New Roman" w:hAnsi="Times New Roman"/>
          <w:sz w:val="24"/>
          <w:szCs w:val="24"/>
        </w:rPr>
        <w:t xml:space="preserve">. Accordingly the zone of not-for-profit internationalization stays as a moderately and inadequately </w:t>
      </w:r>
      <w:r>
        <w:rPr>
          <w:rFonts w:ascii="Times New Roman" w:cs="Times New Roman" w:hAnsi="Times New Roman"/>
          <w:sz w:val="24"/>
          <w:szCs w:val="24"/>
        </w:rPr>
        <w:t>understoo</w:t>
      </w:r>
      <w:r>
        <w:rPr>
          <w:rFonts w:ascii="Times New Roman" w:cs="Times New Roman" w:hAnsi="Times New Roman"/>
          <w:sz w:val="24"/>
          <w:szCs w:val="24"/>
        </w:rPr>
        <w:t xml:space="preserve">d segment and gives an extraordinary potential to future research (Reid, 2006).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Accordingly the </w:t>
      </w:r>
      <w:r>
        <w:rPr>
          <w:rFonts w:ascii="Times New Roman" w:cs="Times New Roman" w:hAnsi="Times New Roman"/>
          <w:sz w:val="24"/>
          <w:szCs w:val="24"/>
        </w:rPr>
        <w:t>objective of this research</w:t>
      </w:r>
      <w:r>
        <w:rPr>
          <w:rFonts w:ascii="Times New Roman" w:cs="Times New Roman" w:hAnsi="Times New Roman"/>
          <w:sz w:val="24"/>
          <w:szCs w:val="24"/>
        </w:rPr>
        <w:t xml:space="preserve"> is to </w:t>
      </w:r>
      <w:r>
        <w:rPr>
          <w:rFonts w:ascii="Times New Roman" w:cs="Times New Roman" w:hAnsi="Times New Roman"/>
          <w:sz w:val="24"/>
          <w:szCs w:val="24"/>
        </w:rPr>
        <w:t>examine</w:t>
      </w:r>
      <w:r>
        <w:rPr>
          <w:rFonts w:ascii="Times New Roman" w:cs="Times New Roman" w:hAnsi="Times New Roman"/>
          <w:sz w:val="24"/>
          <w:szCs w:val="24"/>
        </w:rPr>
        <w:t xml:space="preserve"> the elements which impact the </w:t>
      </w:r>
      <w:r>
        <w:rPr>
          <w:rFonts w:ascii="Times New Roman" w:cs="Times New Roman" w:hAnsi="Times New Roman"/>
          <w:sz w:val="24"/>
          <w:szCs w:val="24"/>
        </w:rPr>
        <w:t>entry mode</w:t>
      </w:r>
      <w:r>
        <w:rPr>
          <w:rFonts w:ascii="Times New Roman" w:cs="Times New Roman" w:hAnsi="Times New Roman"/>
          <w:sz w:val="24"/>
          <w:szCs w:val="24"/>
        </w:rPr>
        <w:t xml:space="preserve"> decisions in NPO internationalization process. This will be essentially accomplished through returning to and </w:t>
      </w:r>
      <w:r>
        <w:rPr>
          <w:rFonts w:ascii="Times New Roman" w:cs="Times New Roman" w:hAnsi="Times New Roman"/>
          <w:sz w:val="24"/>
          <w:szCs w:val="24"/>
        </w:rPr>
        <w:t>reexamination</w:t>
      </w:r>
      <w:r>
        <w:rPr>
          <w:rFonts w:ascii="Times New Roman" w:cs="Times New Roman" w:hAnsi="Times New Roman"/>
          <w:sz w:val="24"/>
          <w:szCs w:val="24"/>
        </w:rPr>
        <w:t xml:space="preserve"> of writing which investigates the compelling components in internationalization of the revenue driven area in a non-</w:t>
      </w:r>
      <w:r>
        <w:rPr>
          <w:rFonts w:ascii="Times New Roman" w:cs="Times New Roman" w:hAnsi="Times New Roman"/>
          <w:sz w:val="24"/>
          <w:szCs w:val="24"/>
        </w:rPr>
        <w:t>profit</w:t>
      </w:r>
      <w:r>
        <w:rPr>
          <w:rFonts w:ascii="Times New Roman" w:cs="Times New Roman" w:hAnsi="Times New Roman"/>
          <w:sz w:val="24"/>
          <w:szCs w:val="24"/>
        </w:rPr>
        <w:t xml:space="preserve"> setting. Despite the fact that there are contrasts among charitable area and standard </w:t>
      </w:r>
      <w:r>
        <w:rPr>
          <w:rFonts w:ascii="Times New Roman" w:cs="Times New Roman" w:hAnsi="Times New Roman"/>
          <w:sz w:val="24"/>
          <w:szCs w:val="24"/>
        </w:rPr>
        <w:t>profit</w:t>
      </w:r>
      <w:r>
        <w:rPr>
          <w:rFonts w:ascii="Times New Roman" w:cs="Times New Roman" w:hAnsi="Times New Roman"/>
          <w:sz w:val="24"/>
          <w:szCs w:val="24"/>
        </w:rPr>
        <w:t xml:space="preserve"> division, this ought </w:t>
      </w:r>
      <w:r>
        <w:rPr>
          <w:rFonts w:ascii="Times New Roman" w:cs="Times New Roman" w:hAnsi="Times New Roman"/>
          <w:sz w:val="24"/>
          <w:szCs w:val="24"/>
        </w:rPr>
        <w:t>not</w:t>
      </w:r>
      <w:r>
        <w:rPr>
          <w:rFonts w:ascii="Times New Roman" w:cs="Times New Roman" w:hAnsi="Times New Roman"/>
          <w:sz w:val="24"/>
          <w:szCs w:val="24"/>
        </w:rPr>
        <w:t xml:space="preserve"> dispense with the aggregate plausibility of utilizing standard </w:t>
      </w:r>
      <w:r>
        <w:rPr>
          <w:rFonts w:ascii="Times New Roman" w:cs="Times New Roman" w:hAnsi="Times New Roman"/>
          <w:sz w:val="24"/>
          <w:szCs w:val="24"/>
        </w:rPr>
        <w:t>administration instruments (</w:t>
      </w:r>
      <w:r>
        <w:rPr>
          <w:rFonts w:ascii="Times New Roman" w:cs="Times New Roman" w:hAnsi="Times New Roman"/>
          <w:sz w:val="24"/>
          <w:szCs w:val="24"/>
        </w:rPr>
        <w:t>Siméant</w:t>
      </w:r>
      <w:r>
        <w:rPr>
          <w:rFonts w:ascii="Times New Roman" w:cs="Times New Roman" w:hAnsi="Times New Roman"/>
          <w:sz w:val="24"/>
          <w:szCs w:val="24"/>
        </w:rPr>
        <w:t>, 2005</w:t>
      </w:r>
      <w:r>
        <w:rPr>
          <w:rFonts w:ascii="Times New Roman" w:cs="Times New Roman" w:hAnsi="Times New Roman"/>
          <w:sz w:val="24"/>
          <w:szCs w:val="24"/>
        </w:rPr>
        <w:t xml:space="preserve">). </w:t>
      </w:r>
      <w:r>
        <w:rPr>
          <w:rFonts w:ascii="Times New Roman" w:cs="Times New Roman" w:hAnsi="Times New Roman"/>
          <w:sz w:val="24"/>
          <w:szCs w:val="24"/>
        </w:rPr>
        <w:t xml:space="preserve">Here the investigation will particularly look at the </w:t>
      </w:r>
      <w:r>
        <w:rPr>
          <w:rFonts w:ascii="Times New Roman" w:cs="Times New Roman" w:hAnsi="Times New Roman"/>
          <w:sz w:val="24"/>
          <w:szCs w:val="24"/>
        </w:rPr>
        <w:t>entry mode</w:t>
      </w:r>
      <w:r>
        <w:rPr>
          <w:rFonts w:ascii="Times New Roman" w:cs="Times New Roman" w:hAnsi="Times New Roman"/>
          <w:sz w:val="24"/>
          <w:szCs w:val="24"/>
        </w:rPr>
        <w:t xml:space="preserve"> choice as this is viewed as a standout amongst the most vital choices for an internationalizing firm and will create key recommendations, with the goal that future examinations can experimentally test them. This will empower future NPOs to be more successful in their entrance mode decisions.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A</w:t>
      </w:r>
      <w:r>
        <w:rPr>
          <w:rFonts w:ascii="Times New Roman" w:cs="Times New Roman" w:hAnsi="Times New Roman"/>
          <w:sz w:val="24"/>
          <w:szCs w:val="24"/>
        </w:rPr>
        <w:t>n</w:t>
      </w:r>
      <w:r>
        <w:rPr>
          <w:rFonts w:ascii="Times New Roman" w:cs="Times New Roman" w:hAnsi="Times New Roman"/>
          <w:sz w:val="24"/>
          <w:szCs w:val="24"/>
        </w:rPr>
        <w:t xml:space="preserve"> </w:t>
      </w:r>
      <w:r>
        <w:rPr>
          <w:rFonts w:ascii="Times New Roman" w:cs="Times New Roman" w:hAnsi="Times New Roman"/>
          <w:sz w:val="24"/>
          <w:szCs w:val="24"/>
        </w:rPr>
        <w:t>entry mode</w:t>
      </w:r>
      <w:r>
        <w:rPr>
          <w:rFonts w:ascii="Times New Roman" w:cs="Times New Roman" w:hAnsi="Times New Roman"/>
          <w:sz w:val="24"/>
          <w:szCs w:val="24"/>
        </w:rPr>
        <w:t xml:space="preserve"> is an institutional plan that a firm uses to showcase its item past its limits in any event amid </w:t>
      </w:r>
      <w:r>
        <w:rPr>
          <w:rFonts w:ascii="Times New Roman" w:cs="Times New Roman" w:hAnsi="Times New Roman"/>
          <w:sz w:val="24"/>
          <w:szCs w:val="24"/>
        </w:rPr>
        <w:t>initial five years" (Root, 1987</w:t>
      </w:r>
      <w:r>
        <w:rPr>
          <w:rFonts w:ascii="Times New Roman" w:cs="Times New Roman" w:hAnsi="Times New Roman"/>
          <w:sz w:val="24"/>
          <w:szCs w:val="24"/>
        </w:rPr>
        <w:t xml:space="preserve">) or/and </w:t>
      </w:r>
      <w:r>
        <w:rPr>
          <w:rFonts w:ascii="Times New Roman" w:cs="Times New Roman" w:hAnsi="Times New Roman"/>
          <w:sz w:val="24"/>
          <w:szCs w:val="24"/>
        </w:rPr>
        <w:t>a method for sorting out an organization's business</w:t>
      </w:r>
      <w:r>
        <w:rPr>
          <w:rFonts w:ascii="Times New Roman" w:cs="Times New Roman" w:hAnsi="Times New Roman"/>
          <w:sz w:val="24"/>
          <w:szCs w:val="24"/>
        </w:rPr>
        <w:t xml:space="preserve"> exercises in a foreign nation</w:t>
      </w:r>
      <w:r>
        <w:rPr>
          <w:rFonts w:ascii="Times New Roman" w:cs="Times New Roman" w:hAnsi="Times New Roman"/>
          <w:sz w:val="24"/>
          <w:szCs w:val="24"/>
        </w:rPr>
        <w:t xml:space="preserve">. </w:t>
      </w:r>
      <w:r>
        <w:rPr>
          <w:rFonts w:ascii="Times New Roman" w:cs="Times New Roman" w:hAnsi="Times New Roman"/>
          <w:sz w:val="24"/>
          <w:szCs w:val="24"/>
        </w:rPr>
        <w:t xml:space="preserve">A firm is regularly persuaded to pick the </w:t>
      </w:r>
      <w:r>
        <w:rPr>
          <w:rFonts w:ascii="Times New Roman" w:cs="Times New Roman" w:hAnsi="Times New Roman"/>
          <w:sz w:val="24"/>
          <w:szCs w:val="24"/>
        </w:rPr>
        <w:t>entry mode</w:t>
      </w:r>
      <w:r>
        <w:rPr>
          <w:rFonts w:ascii="Times New Roman" w:cs="Times New Roman" w:hAnsi="Times New Roman"/>
          <w:sz w:val="24"/>
          <w:szCs w:val="24"/>
        </w:rPr>
        <w:t xml:space="preserve"> which gives the most elevated profit for ventures (Andersen, 1997) or as such limits the hazard (Root, 1987). </w:t>
      </w:r>
      <w:r>
        <w:rPr>
          <w:rFonts w:ascii="Times New Roman" w:cs="Times New Roman" w:hAnsi="Times New Roman"/>
          <w:sz w:val="24"/>
          <w:szCs w:val="24"/>
        </w:rPr>
        <w:t>However</w:t>
      </w:r>
      <w:r>
        <w:rPr>
          <w:rFonts w:ascii="Times New Roman" w:cs="Times New Roman" w:hAnsi="Times New Roman"/>
          <w:sz w:val="24"/>
          <w:szCs w:val="24"/>
        </w:rPr>
        <w:t xml:space="preserve">, given organization's decisions additionally dictated by the accessibility of </w:t>
      </w:r>
      <w:r>
        <w:rPr>
          <w:rFonts w:ascii="Times New Roman" w:cs="Times New Roman" w:hAnsi="Times New Roman"/>
          <w:sz w:val="24"/>
          <w:szCs w:val="24"/>
        </w:rPr>
        <w:t>funds</w:t>
      </w:r>
      <w:r>
        <w:rPr>
          <w:rFonts w:ascii="Times New Roman" w:cs="Times New Roman" w:hAnsi="Times New Roman"/>
          <w:sz w:val="24"/>
          <w:szCs w:val="24"/>
        </w:rPr>
        <w:t xml:space="preserve"> and want for control (Anderson an</w:t>
      </w:r>
      <w:r>
        <w:rPr>
          <w:rFonts w:ascii="Times New Roman" w:cs="Times New Roman" w:hAnsi="Times New Roman"/>
          <w:sz w:val="24"/>
          <w:szCs w:val="24"/>
        </w:rPr>
        <w:t xml:space="preserve">d </w:t>
      </w:r>
      <w:r>
        <w:rPr>
          <w:rFonts w:ascii="Times New Roman" w:cs="Times New Roman" w:hAnsi="Times New Roman"/>
          <w:sz w:val="24"/>
          <w:szCs w:val="24"/>
        </w:rPr>
        <w:t>Gatignon</w:t>
      </w:r>
      <w:r>
        <w:rPr>
          <w:rFonts w:ascii="Times New Roman" w:cs="Times New Roman" w:hAnsi="Times New Roman"/>
          <w:sz w:val="24"/>
          <w:szCs w:val="24"/>
        </w:rPr>
        <w:t>, 1986a</w:t>
      </w:r>
      <w:r>
        <w:rPr>
          <w:rFonts w:ascii="Times New Roman" w:cs="Times New Roman" w:hAnsi="Times New Roman"/>
          <w:sz w:val="24"/>
          <w:szCs w:val="24"/>
        </w:rPr>
        <w:t>). Additionally as per certain analysts, control is urgent and also the most critical factor since, it straightforwardly impacts both the dangers and the profits (</w:t>
      </w:r>
      <w:r>
        <w:rPr>
          <w:rFonts w:ascii="Times New Roman" w:cs="Times New Roman" w:hAnsi="Times New Roman"/>
          <w:sz w:val="24"/>
          <w:szCs w:val="24"/>
        </w:rPr>
        <w:t>Sallis</w:t>
      </w:r>
      <w:r>
        <w:rPr>
          <w:rFonts w:ascii="Times New Roman" w:cs="Times New Roman" w:hAnsi="Times New Roman"/>
          <w:sz w:val="24"/>
          <w:szCs w:val="24"/>
        </w:rPr>
        <w:t xml:space="preserve">, 2006). Control alludes to the "level of power a firm may practice over frameworks, techniques, and choices of the </w:t>
      </w:r>
      <w:r>
        <w:rPr>
          <w:rFonts w:ascii="Times New Roman" w:cs="Times New Roman" w:hAnsi="Times New Roman"/>
          <w:sz w:val="24"/>
          <w:szCs w:val="24"/>
        </w:rPr>
        <w:t>foreign</w:t>
      </w:r>
      <w:r>
        <w:rPr>
          <w:rFonts w:ascii="Times New Roman" w:cs="Times New Roman" w:hAnsi="Times New Roman"/>
          <w:sz w:val="24"/>
          <w:szCs w:val="24"/>
        </w:rPr>
        <w:t xml:space="preserve"> subsidiary" (</w:t>
      </w:r>
      <w:r>
        <w:rPr>
          <w:rFonts w:ascii="Times New Roman" w:cs="Times New Roman" w:hAnsi="Times New Roman"/>
          <w:sz w:val="24"/>
          <w:szCs w:val="24"/>
        </w:rPr>
        <w:t>Ekeledo</w:t>
      </w:r>
      <w:r>
        <w:rPr>
          <w:rFonts w:ascii="Times New Roman" w:cs="Times New Roman" w:hAnsi="Times New Roman"/>
          <w:sz w:val="24"/>
          <w:szCs w:val="24"/>
        </w:rPr>
        <w:t xml:space="preserve"> and </w:t>
      </w:r>
      <w:r>
        <w:rPr>
          <w:rFonts w:ascii="Times New Roman" w:cs="Times New Roman" w:hAnsi="Times New Roman"/>
          <w:sz w:val="24"/>
          <w:szCs w:val="24"/>
        </w:rPr>
        <w:t>Sivakumar</w:t>
      </w:r>
      <w:r>
        <w:rPr>
          <w:rFonts w:ascii="Times New Roman" w:cs="Times New Roman" w:hAnsi="Times New Roman"/>
          <w:sz w:val="24"/>
          <w:szCs w:val="24"/>
        </w:rPr>
        <w:t xml:space="preserve">, 2004). Whichever way the determination of a legitimate </w:t>
      </w:r>
      <w:r>
        <w:rPr>
          <w:rFonts w:ascii="Times New Roman" w:cs="Times New Roman" w:hAnsi="Times New Roman"/>
          <w:sz w:val="24"/>
          <w:szCs w:val="24"/>
        </w:rPr>
        <w:t>entry mode</w:t>
      </w:r>
      <w:r>
        <w:rPr>
          <w:rFonts w:ascii="Times New Roman" w:cs="Times New Roman" w:hAnsi="Times New Roman"/>
          <w:sz w:val="24"/>
          <w:szCs w:val="24"/>
        </w:rPr>
        <w:t xml:space="preserve"> in an outside market is a standout amongst the most critical choices for an internationalizing firm an</w:t>
      </w:r>
      <w:r>
        <w:rPr>
          <w:rFonts w:ascii="Times New Roman" w:cs="Times New Roman" w:hAnsi="Times New Roman"/>
          <w:sz w:val="24"/>
          <w:szCs w:val="24"/>
        </w:rPr>
        <w:t>d can have noteworthy and long term</w:t>
      </w:r>
      <w:r>
        <w:rPr>
          <w:rFonts w:ascii="Times New Roman" w:cs="Times New Roman" w:hAnsi="Times New Roman"/>
          <w:sz w:val="24"/>
          <w:szCs w:val="24"/>
        </w:rPr>
        <w:t xml:space="preserve"> outcomes on its execution and even survival (Anderson and </w:t>
      </w:r>
      <w:r>
        <w:rPr>
          <w:rFonts w:ascii="Times New Roman" w:cs="Times New Roman" w:hAnsi="Times New Roman"/>
          <w:sz w:val="24"/>
          <w:szCs w:val="24"/>
        </w:rPr>
        <w:t>Gatignon</w:t>
      </w:r>
      <w:r>
        <w:rPr>
          <w:rFonts w:ascii="Times New Roman" w:cs="Times New Roman" w:hAnsi="Times New Roman"/>
          <w:sz w:val="24"/>
          <w:szCs w:val="24"/>
        </w:rPr>
        <w:t xml:space="preserve">, 1986a; Davidson, 1982; Hill et al., 1990).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Internationalization is the way toward adjusting trade exchange</w:t>
      </w:r>
      <w:r>
        <w:rPr>
          <w:rFonts w:ascii="Times New Roman" w:cs="Times New Roman" w:hAnsi="Times New Roman"/>
          <w:sz w:val="24"/>
          <w:szCs w:val="24"/>
        </w:rPr>
        <w:t xml:space="preserve"> methodology to global markets </w:t>
      </w:r>
      <w:r>
        <w:rPr>
          <w:rFonts w:ascii="Times New Roman" w:cs="Times New Roman" w:hAnsi="Times New Roman"/>
          <w:sz w:val="24"/>
          <w:szCs w:val="24"/>
        </w:rPr>
        <w:t>(</w:t>
      </w:r>
      <w:r>
        <w:rPr>
          <w:rFonts w:ascii="Times New Roman" w:cs="Times New Roman" w:hAnsi="Times New Roman"/>
          <w:sz w:val="24"/>
          <w:szCs w:val="24"/>
        </w:rPr>
        <w:t>Calof</w:t>
      </w:r>
      <w:r>
        <w:rPr>
          <w:rFonts w:ascii="Times New Roman" w:cs="Times New Roman" w:hAnsi="Times New Roman"/>
          <w:sz w:val="24"/>
          <w:szCs w:val="24"/>
        </w:rPr>
        <w:t xml:space="preserve"> and Beamish, 1995 p. </w:t>
      </w:r>
      <w:r>
        <w:rPr>
          <w:rFonts w:ascii="Times New Roman" w:cs="Times New Roman" w:hAnsi="Times New Roman"/>
          <w:sz w:val="24"/>
          <w:szCs w:val="24"/>
        </w:rPr>
        <w:t>115 )</w:t>
      </w:r>
      <w:r>
        <w:rPr>
          <w:rFonts w:ascii="Times New Roman" w:cs="Times New Roman" w:hAnsi="Times New Roman"/>
          <w:sz w:val="24"/>
          <w:szCs w:val="24"/>
        </w:rPr>
        <w:t xml:space="preserve">. Internationalization has additionally been seen as a procedure of expanding organization and duty in </w:t>
      </w:r>
      <w:r>
        <w:rPr>
          <w:rFonts w:ascii="Times New Roman" w:cs="Times New Roman" w:hAnsi="Times New Roman"/>
          <w:sz w:val="24"/>
          <w:szCs w:val="24"/>
        </w:rPr>
        <w:t>global tasks</w:t>
      </w:r>
      <w:r>
        <w:rPr>
          <w:rFonts w:ascii="Times New Roman" w:cs="Times New Roman" w:hAnsi="Times New Roman"/>
          <w:sz w:val="24"/>
          <w:szCs w:val="24"/>
        </w:rPr>
        <w:t>. Besides internationalization can likewise be seen as a procedure by which a firm which had just tasks in residential market extending its activ</w:t>
      </w:r>
      <w:r>
        <w:rPr>
          <w:rFonts w:ascii="Times New Roman" w:cs="Times New Roman" w:hAnsi="Times New Roman"/>
          <w:sz w:val="24"/>
          <w:szCs w:val="24"/>
        </w:rPr>
        <w:t>ities crosswise over outskirts</w:t>
      </w:r>
      <w:r>
        <w:rPr>
          <w:rFonts w:ascii="Times New Roman" w:cs="Times New Roman" w:hAnsi="Times New Roman"/>
          <w:sz w:val="24"/>
          <w:szCs w:val="24"/>
        </w:rPr>
        <w:t xml:space="preserve">. Internationalization includes a few basic choices by a firm, including choice to internationalize, advertise determination, </w:t>
      </w:r>
      <w:r>
        <w:rPr>
          <w:rFonts w:ascii="Times New Roman" w:cs="Times New Roman" w:hAnsi="Times New Roman"/>
          <w:sz w:val="24"/>
          <w:szCs w:val="24"/>
        </w:rPr>
        <w:t>entry mode</w:t>
      </w:r>
      <w:r>
        <w:rPr>
          <w:rFonts w:ascii="Times New Roman" w:cs="Times New Roman" w:hAnsi="Times New Roman"/>
          <w:sz w:val="24"/>
          <w:szCs w:val="24"/>
        </w:rPr>
        <w:t xml:space="preserve">s and timing of section.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Level of Control is the</w:t>
      </w:r>
      <w:r>
        <w:rPr>
          <w:rFonts w:ascii="Times New Roman" w:cs="Times New Roman" w:hAnsi="Times New Roman"/>
          <w:sz w:val="24"/>
          <w:szCs w:val="24"/>
        </w:rPr>
        <w:t xml:space="preserve"> most usually utilized base in categorizing entry mode</w:t>
      </w:r>
      <w:r>
        <w:rPr>
          <w:rFonts w:ascii="Times New Roman" w:cs="Times New Roman" w:hAnsi="Times New Roman"/>
          <w:sz w:val="24"/>
          <w:szCs w:val="24"/>
        </w:rPr>
        <w:t>s; control is a basic part since it has being recognized as something coming from proprietorship (</w:t>
      </w:r>
      <w:r>
        <w:rPr>
          <w:rFonts w:ascii="Times New Roman" w:cs="Times New Roman" w:hAnsi="Times New Roman"/>
          <w:sz w:val="24"/>
          <w:szCs w:val="24"/>
        </w:rPr>
        <w:t>Erramilli</w:t>
      </w:r>
      <w:r>
        <w:rPr>
          <w:rFonts w:ascii="Times New Roman" w:cs="Times New Roman" w:hAnsi="Times New Roman"/>
          <w:sz w:val="24"/>
          <w:szCs w:val="24"/>
        </w:rPr>
        <w:t xml:space="preserve">, 1991). Full control </w:t>
      </w:r>
      <w:r>
        <w:rPr>
          <w:rFonts w:ascii="Times New Roman" w:cs="Times New Roman" w:hAnsi="Times New Roman"/>
          <w:sz w:val="24"/>
          <w:szCs w:val="24"/>
        </w:rPr>
        <w:t>entry modes refer</w:t>
      </w:r>
      <w:r>
        <w:rPr>
          <w:rFonts w:ascii="Times New Roman" w:cs="Times New Roman" w:hAnsi="Times New Roman"/>
          <w:sz w:val="24"/>
          <w:szCs w:val="24"/>
        </w:rPr>
        <w:t>s to sole proprietorships while shared control modes allude to some type of c</w:t>
      </w:r>
      <w:r>
        <w:rPr>
          <w:rFonts w:ascii="Times New Roman" w:cs="Times New Roman" w:hAnsi="Times New Roman"/>
          <w:sz w:val="24"/>
          <w:szCs w:val="24"/>
        </w:rPr>
        <w:t>ollaborative modes</w:t>
      </w:r>
      <w:r>
        <w:rPr>
          <w:rFonts w:ascii="Times New Roman" w:cs="Times New Roman" w:hAnsi="Times New Roman"/>
          <w:sz w:val="24"/>
          <w:szCs w:val="24"/>
        </w:rPr>
        <w:t xml:space="preserve"> of </w:t>
      </w:r>
      <w:r>
        <w:rPr>
          <w:rFonts w:ascii="Times New Roman" w:cs="Times New Roman" w:hAnsi="Times New Roman"/>
          <w:sz w:val="24"/>
          <w:szCs w:val="24"/>
        </w:rPr>
        <w:t>operations</w:t>
      </w:r>
      <w:r>
        <w:rPr>
          <w:rFonts w:ascii="Times New Roman" w:cs="Times New Roman" w:hAnsi="Times New Roman"/>
          <w:sz w:val="24"/>
          <w:szCs w:val="24"/>
        </w:rPr>
        <w:t xml:space="preserve"> (</w:t>
      </w:r>
      <w:r>
        <w:rPr>
          <w:rFonts w:ascii="Times New Roman" w:cs="Times New Roman" w:hAnsi="Times New Roman"/>
          <w:sz w:val="24"/>
          <w:szCs w:val="24"/>
        </w:rPr>
        <w:t>Ekeledo</w:t>
      </w:r>
      <w:r>
        <w:rPr>
          <w:rFonts w:ascii="Times New Roman" w:cs="Times New Roman" w:hAnsi="Times New Roman"/>
          <w:sz w:val="24"/>
          <w:szCs w:val="24"/>
        </w:rPr>
        <w:t xml:space="preserve"> and </w:t>
      </w:r>
      <w:r>
        <w:rPr>
          <w:rFonts w:ascii="Times New Roman" w:cs="Times New Roman" w:hAnsi="Times New Roman"/>
          <w:sz w:val="24"/>
          <w:szCs w:val="24"/>
        </w:rPr>
        <w:t>Sivakumar</w:t>
      </w:r>
      <w:r>
        <w:rPr>
          <w:rFonts w:ascii="Times New Roman" w:cs="Times New Roman" w:hAnsi="Times New Roman"/>
          <w:sz w:val="24"/>
          <w:szCs w:val="24"/>
        </w:rPr>
        <w:t xml:space="preserve">, 2004). Full control </w:t>
      </w:r>
      <w:r>
        <w:rPr>
          <w:rFonts w:ascii="Times New Roman" w:cs="Times New Roman" w:hAnsi="Times New Roman"/>
          <w:sz w:val="24"/>
          <w:szCs w:val="24"/>
        </w:rPr>
        <w:t>entry mode</w:t>
      </w:r>
      <w:r>
        <w:rPr>
          <w:rFonts w:ascii="Times New Roman" w:cs="Times New Roman" w:hAnsi="Times New Roman"/>
          <w:sz w:val="24"/>
          <w:szCs w:val="24"/>
        </w:rPr>
        <w:t xml:space="preserve">s furnishes organizations with higher dangers, higher returns and require full asset duties while shared control techniques require moderate asset responsibilities at moderate dangers yet additionally gives moderate returns (Anderson and </w:t>
      </w:r>
      <w:r>
        <w:rPr>
          <w:rFonts w:ascii="Times New Roman" w:cs="Times New Roman" w:hAnsi="Times New Roman"/>
          <w:sz w:val="24"/>
          <w:szCs w:val="24"/>
        </w:rPr>
        <w:t>Gatignon</w:t>
      </w:r>
      <w:r>
        <w:rPr>
          <w:rFonts w:ascii="Times New Roman" w:cs="Times New Roman" w:hAnsi="Times New Roman"/>
          <w:sz w:val="24"/>
          <w:szCs w:val="24"/>
        </w:rPr>
        <w:t xml:space="preserve">, 1986a). In this way choosing an appropriate </w:t>
      </w:r>
      <w:r>
        <w:rPr>
          <w:rFonts w:ascii="Times New Roman" w:cs="Times New Roman" w:hAnsi="Times New Roman"/>
          <w:sz w:val="24"/>
          <w:szCs w:val="24"/>
        </w:rPr>
        <w:t>entry mode</w:t>
      </w:r>
      <w:r>
        <w:rPr>
          <w:rFonts w:ascii="Times New Roman" w:cs="Times New Roman" w:hAnsi="Times New Roman"/>
          <w:sz w:val="24"/>
          <w:szCs w:val="24"/>
        </w:rPr>
        <w:t xml:space="preserve"> is a fragile demonstration of adjusting and also an exchange</w:t>
      </w:r>
      <w:r>
        <w:rPr>
          <w:rFonts w:ascii="Times New Roman" w:cs="Times New Roman" w:hAnsi="Times New Roman"/>
          <w:sz w:val="24"/>
          <w:szCs w:val="24"/>
        </w:rPr>
        <w:t xml:space="preserve"> off between these three parts</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As indicated by </w:t>
      </w:r>
      <w:r>
        <w:rPr>
          <w:rFonts w:ascii="Times New Roman" w:cs="Times New Roman" w:hAnsi="Times New Roman"/>
          <w:sz w:val="24"/>
          <w:szCs w:val="24"/>
        </w:rPr>
        <w:t>Ekeledo</w:t>
      </w:r>
      <w:r>
        <w:rPr>
          <w:rFonts w:ascii="Times New Roman" w:cs="Times New Roman" w:hAnsi="Times New Roman"/>
          <w:sz w:val="24"/>
          <w:szCs w:val="24"/>
        </w:rPr>
        <w:t xml:space="preserve"> and </w:t>
      </w:r>
      <w:r>
        <w:rPr>
          <w:rFonts w:ascii="Times New Roman" w:cs="Times New Roman" w:hAnsi="Times New Roman"/>
          <w:sz w:val="24"/>
          <w:szCs w:val="24"/>
        </w:rPr>
        <w:t>Sivakumar</w:t>
      </w:r>
      <w:r>
        <w:rPr>
          <w:rFonts w:ascii="Times New Roman" w:cs="Times New Roman" w:hAnsi="Times New Roman"/>
          <w:sz w:val="24"/>
          <w:szCs w:val="24"/>
        </w:rPr>
        <w:t xml:space="preserve"> (2003:70) the two notewo</w:t>
      </w:r>
      <w:r>
        <w:rPr>
          <w:rFonts w:ascii="Times New Roman" w:cs="Times New Roman" w:hAnsi="Times New Roman"/>
          <w:sz w:val="24"/>
          <w:szCs w:val="24"/>
        </w:rPr>
        <w:t>rthy theories</w:t>
      </w:r>
      <w:r>
        <w:rPr>
          <w:rFonts w:ascii="Times New Roman" w:cs="Times New Roman" w:hAnsi="Times New Roman"/>
          <w:sz w:val="24"/>
          <w:szCs w:val="24"/>
        </w:rPr>
        <w:t xml:space="preserve"> on </w:t>
      </w:r>
      <w:r>
        <w:rPr>
          <w:rFonts w:ascii="Times New Roman" w:cs="Times New Roman" w:hAnsi="Times New Roman"/>
          <w:sz w:val="24"/>
          <w:szCs w:val="24"/>
        </w:rPr>
        <w:t>global</w:t>
      </w:r>
      <w:r>
        <w:rPr>
          <w:rFonts w:ascii="Times New Roman" w:cs="Times New Roman" w:hAnsi="Times New Roman"/>
          <w:sz w:val="24"/>
          <w:szCs w:val="24"/>
        </w:rPr>
        <w:t xml:space="preserve"> </w:t>
      </w:r>
      <w:r>
        <w:rPr>
          <w:rFonts w:ascii="Times New Roman" w:cs="Times New Roman" w:hAnsi="Times New Roman"/>
          <w:sz w:val="24"/>
          <w:szCs w:val="24"/>
        </w:rPr>
        <w:t>entry mode</w:t>
      </w:r>
      <w:r>
        <w:rPr>
          <w:rFonts w:ascii="Times New Roman" w:cs="Times New Roman" w:hAnsi="Times New Roman"/>
          <w:sz w:val="24"/>
          <w:szCs w:val="24"/>
        </w:rPr>
        <w:t xml:space="preserve"> is the internalizations</w:t>
      </w:r>
      <w:r>
        <w:rPr>
          <w:rFonts w:ascii="Times New Roman" w:cs="Times New Roman" w:hAnsi="Times New Roman"/>
          <w:sz w:val="24"/>
          <w:szCs w:val="24"/>
        </w:rPr>
        <w:t xml:space="preserve"> theory and the </w:t>
      </w:r>
      <w:r>
        <w:rPr>
          <w:rFonts w:ascii="Times New Roman" w:cs="Times New Roman" w:hAnsi="Times New Roman"/>
          <w:sz w:val="24"/>
          <w:szCs w:val="24"/>
        </w:rPr>
        <w:t>eclectic</w:t>
      </w:r>
      <w:r>
        <w:rPr>
          <w:rFonts w:ascii="Times New Roman" w:cs="Times New Roman" w:hAnsi="Times New Roman"/>
          <w:sz w:val="24"/>
          <w:szCs w:val="24"/>
        </w:rPr>
        <w:t xml:space="preserve"> theory. This is on the grounds that they are the best-known theory and have </w:t>
      </w:r>
      <w:r>
        <w:rPr>
          <w:rFonts w:ascii="Times New Roman" w:cs="Times New Roman" w:hAnsi="Times New Roman"/>
          <w:sz w:val="24"/>
          <w:szCs w:val="24"/>
        </w:rPr>
        <w:t>empirical support</w:t>
      </w:r>
      <w:r>
        <w:rPr>
          <w:rFonts w:ascii="Times New Roman" w:cs="Times New Roman" w:hAnsi="Times New Roman"/>
          <w:sz w:val="24"/>
          <w:szCs w:val="24"/>
        </w:rPr>
        <w:t xml:space="preserve">. As per </w:t>
      </w:r>
      <w:r>
        <w:rPr>
          <w:rFonts w:ascii="Times New Roman" w:cs="Times New Roman" w:hAnsi="Times New Roman"/>
          <w:sz w:val="24"/>
          <w:szCs w:val="24"/>
        </w:rPr>
        <w:t>Madhok</w:t>
      </w:r>
      <w:r>
        <w:rPr>
          <w:rFonts w:ascii="Times New Roman" w:cs="Times New Roman" w:hAnsi="Times New Roman"/>
          <w:sz w:val="24"/>
          <w:szCs w:val="24"/>
        </w:rPr>
        <w:t xml:space="preserve">, (1997:39) and </w:t>
      </w:r>
      <w:r>
        <w:rPr>
          <w:rFonts w:ascii="Times New Roman" w:cs="Times New Roman" w:hAnsi="Times New Roman"/>
          <w:sz w:val="24"/>
          <w:szCs w:val="24"/>
        </w:rPr>
        <w:t>Ekeledo</w:t>
      </w:r>
      <w:r>
        <w:rPr>
          <w:rFonts w:ascii="Times New Roman" w:cs="Times New Roman" w:hAnsi="Times New Roman"/>
          <w:sz w:val="24"/>
          <w:szCs w:val="24"/>
        </w:rPr>
        <w:t xml:space="preserve"> and </w:t>
      </w:r>
      <w:r>
        <w:rPr>
          <w:rFonts w:ascii="Times New Roman" w:cs="Times New Roman" w:hAnsi="Times New Roman"/>
          <w:sz w:val="24"/>
          <w:szCs w:val="24"/>
        </w:rPr>
        <w:t>Sivakumar</w:t>
      </w:r>
      <w:r>
        <w:rPr>
          <w:rFonts w:ascii="Times New Roman" w:cs="Times New Roman" w:hAnsi="Times New Roman"/>
          <w:sz w:val="24"/>
          <w:szCs w:val="24"/>
        </w:rPr>
        <w:t xml:space="preserve"> (200</w:t>
      </w:r>
      <w:r>
        <w:rPr>
          <w:rFonts w:ascii="Times New Roman" w:cs="Times New Roman" w:hAnsi="Times New Roman"/>
          <w:sz w:val="24"/>
          <w:szCs w:val="24"/>
        </w:rPr>
        <w:t>4</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internalizations</w:t>
      </w:r>
      <w:r>
        <w:rPr>
          <w:rFonts w:ascii="Times New Roman" w:cs="Times New Roman" w:hAnsi="Times New Roman"/>
          <w:sz w:val="24"/>
          <w:szCs w:val="24"/>
        </w:rPr>
        <w:t xml:space="preserve"> theory is indistinguishable thing from exchange cost theory. The internationalization theory is a modern organization based theory. They expect flawless rivalry, versatility of </w:t>
      </w:r>
      <w:r>
        <w:rPr>
          <w:rFonts w:ascii="Times New Roman" w:cs="Times New Roman" w:hAnsi="Times New Roman"/>
          <w:sz w:val="24"/>
          <w:szCs w:val="24"/>
        </w:rPr>
        <w:t>funds</w:t>
      </w:r>
      <w:r>
        <w:rPr>
          <w:rFonts w:ascii="Times New Roman" w:cs="Times New Roman" w:hAnsi="Times New Roman"/>
          <w:sz w:val="24"/>
          <w:szCs w:val="24"/>
        </w:rPr>
        <w:t xml:space="preserve"> among firms and homogeneous firms that is including ideal transferability of know-how among organizations and their accomplices (</w:t>
      </w:r>
      <w:r>
        <w:rPr>
          <w:rFonts w:ascii="Times New Roman" w:cs="Times New Roman" w:hAnsi="Times New Roman"/>
          <w:sz w:val="24"/>
          <w:szCs w:val="24"/>
        </w:rPr>
        <w:t>Erramilli</w:t>
      </w:r>
      <w:r>
        <w:rPr>
          <w:rFonts w:ascii="Times New Roman" w:cs="Times New Roman" w:hAnsi="Times New Roman"/>
          <w:sz w:val="24"/>
          <w:szCs w:val="24"/>
        </w:rPr>
        <w:t xml:space="preserve"> 1990:5</w:t>
      </w:r>
      <w:r>
        <w:rPr>
          <w:rFonts w:ascii="Times New Roman" w:cs="Times New Roman" w:hAnsi="Times New Roman"/>
          <w:sz w:val="24"/>
          <w:szCs w:val="24"/>
        </w:rPr>
        <w:t xml:space="preserve">1 and </w:t>
      </w:r>
      <w:r>
        <w:rPr>
          <w:rFonts w:ascii="Times New Roman" w:cs="Times New Roman" w:hAnsi="Times New Roman"/>
          <w:sz w:val="24"/>
          <w:szCs w:val="24"/>
        </w:rPr>
        <w:t>Ekeledo</w:t>
      </w:r>
      <w:r>
        <w:rPr>
          <w:rFonts w:ascii="Times New Roman" w:cs="Times New Roman" w:hAnsi="Times New Roman"/>
          <w:sz w:val="24"/>
          <w:szCs w:val="24"/>
        </w:rPr>
        <w:t xml:space="preserve"> and </w:t>
      </w:r>
      <w:r>
        <w:rPr>
          <w:rFonts w:ascii="Times New Roman" w:cs="Times New Roman" w:hAnsi="Times New Roman"/>
          <w:sz w:val="24"/>
          <w:szCs w:val="24"/>
        </w:rPr>
        <w:t>Sivakumar</w:t>
      </w:r>
      <w:r>
        <w:rPr>
          <w:rFonts w:ascii="Times New Roman" w:cs="Times New Roman" w:hAnsi="Times New Roman"/>
          <w:sz w:val="24"/>
          <w:szCs w:val="24"/>
        </w:rPr>
        <w:t xml:space="preserve"> 2004</w:t>
      </w:r>
      <w:r>
        <w:rPr>
          <w:rFonts w:ascii="Times New Roman" w:cs="Times New Roman" w:hAnsi="Times New Roman"/>
          <w:sz w:val="24"/>
          <w:szCs w:val="24"/>
        </w:rPr>
        <w:t xml:space="preserve">). The </w:t>
      </w:r>
      <w:r>
        <w:rPr>
          <w:rFonts w:ascii="Times New Roman" w:cs="Times New Roman" w:hAnsi="Times New Roman"/>
          <w:sz w:val="24"/>
          <w:szCs w:val="24"/>
        </w:rPr>
        <w:t>internalizations</w:t>
      </w:r>
      <w:r>
        <w:rPr>
          <w:rFonts w:ascii="Times New Roman" w:cs="Times New Roman" w:hAnsi="Times New Roman"/>
          <w:sz w:val="24"/>
          <w:szCs w:val="24"/>
        </w:rPr>
        <w:t xml:space="preserve"> advantage is a legally binding danger that makes controlling the </w:t>
      </w:r>
      <w:r>
        <w:rPr>
          <w:rFonts w:ascii="Times New Roman" w:cs="Times New Roman" w:hAnsi="Times New Roman"/>
          <w:sz w:val="24"/>
          <w:szCs w:val="24"/>
        </w:rPr>
        <w:t>foreign</w:t>
      </w:r>
      <w:r>
        <w:rPr>
          <w:rFonts w:ascii="Times New Roman" w:cs="Times New Roman" w:hAnsi="Times New Roman"/>
          <w:sz w:val="24"/>
          <w:szCs w:val="24"/>
        </w:rPr>
        <w:t xml:space="preserve"> accomplice through FDI more significant than authorizing a </w:t>
      </w:r>
      <w:r>
        <w:rPr>
          <w:rFonts w:ascii="Times New Roman" w:cs="Times New Roman" w:hAnsi="Times New Roman"/>
          <w:sz w:val="24"/>
          <w:szCs w:val="24"/>
        </w:rPr>
        <w:t>local</w:t>
      </w:r>
      <w:r>
        <w:rPr>
          <w:rFonts w:ascii="Times New Roman" w:cs="Times New Roman" w:hAnsi="Times New Roman"/>
          <w:sz w:val="24"/>
          <w:szCs w:val="24"/>
        </w:rPr>
        <w:t xml:space="preserve"> firm as</w:t>
      </w:r>
      <w:r>
        <w:rPr>
          <w:rFonts w:ascii="Times New Roman" w:cs="Times New Roman" w:hAnsi="Times New Roman"/>
          <w:sz w:val="24"/>
          <w:szCs w:val="24"/>
        </w:rPr>
        <w:t xml:space="preserve"> per </w:t>
      </w:r>
      <w:r>
        <w:rPr>
          <w:rFonts w:ascii="Times New Roman" w:cs="Times New Roman" w:hAnsi="Times New Roman"/>
          <w:sz w:val="24"/>
          <w:szCs w:val="24"/>
        </w:rPr>
        <w:t>Ekeledo</w:t>
      </w:r>
      <w:r>
        <w:rPr>
          <w:rFonts w:ascii="Times New Roman" w:cs="Times New Roman" w:hAnsi="Times New Roman"/>
          <w:sz w:val="24"/>
          <w:szCs w:val="24"/>
        </w:rPr>
        <w:t xml:space="preserve"> and </w:t>
      </w:r>
      <w:r>
        <w:rPr>
          <w:rFonts w:ascii="Times New Roman" w:cs="Times New Roman" w:hAnsi="Times New Roman"/>
          <w:sz w:val="24"/>
          <w:szCs w:val="24"/>
        </w:rPr>
        <w:t>Sivakumar</w:t>
      </w:r>
      <w:r>
        <w:rPr>
          <w:rFonts w:ascii="Times New Roman" w:cs="Times New Roman" w:hAnsi="Times New Roman"/>
          <w:sz w:val="24"/>
          <w:szCs w:val="24"/>
        </w:rPr>
        <w:t xml:space="preserve"> (2004</w:t>
      </w:r>
      <w:r>
        <w:rPr>
          <w:rFonts w:ascii="Times New Roman" w:cs="Times New Roman" w:hAnsi="Times New Roman"/>
          <w:sz w:val="24"/>
          <w:szCs w:val="24"/>
        </w:rPr>
        <w:t>). This theory is addressed on the grounds that it isn't proper to contrast FDI and sending out (</w:t>
      </w:r>
      <w:r>
        <w:rPr>
          <w:rFonts w:ascii="Times New Roman" w:cs="Times New Roman" w:hAnsi="Times New Roman"/>
          <w:sz w:val="24"/>
          <w:szCs w:val="24"/>
        </w:rPr>
        <w:t>Ekeledo</w:t>
      </w:r>
      <w:r>
        <w:rPr>
          <w:rFonts w:ascii="Times New Roman" w:cs="Times New Roman" w:hAnsi="Times New Roman"/>
          <w:sz w:val="24"/>
          <w:szCs w:val="24"/>
        </w:rPr>
        <w:t xml:space="preserve"> and </w:t>
      </w:r>
      <w:r>
        <w:rPr>
          <w:rFonts w:ascii="Times New Roman" w:cs="Times New Roman" w:hAnsi="Times New Roman"/>
          <w:sz w:val="24"/>
          <w:szCs w:val="24"/>
        </w:rPr>
        <w:t>Sivakumar</w:t>
      </w:r>
      <w:r>
        <w:rPr>
          <w:rFonts w:ascii="Times New Roman" w:cs="Times New Roman" w:hAnsi="Times New Roman"/>
          <w:sz w:val="24"/>
          <w:szCs w:val="24"/>
        </w:rPr>
        <w:t xml:space="preserve"> 200</w:t>
      </w:r>
      <w:r>
        <w:rPr>
          <w:rFonts w:ascii="Times New Roman" w:cs="Times New Roman" w:hAnsi="Times New Roman"/>
          <w:sz w:val="24"/>
          <w:szCs w:val="24"/>
        </w:rPr>
        <w:t>4</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eclectic</w:t>
      </w:r>
      <w:r>
        <w:rPr>
          <w:rFonts w:ascii="Times New Roman" w:cs="Times New Roman" w:hAnsi="Times New Roman"/>
          <w:sz w:val="24"/>
          <w:szCs w:val="24"/>
        </w:rPr>
        <w:t xml:space="preserve"> theory was creating because of the weaknesses in internationalization theory that </w:t>
      </w:r>
      <w:r>
        <w:rPr>
          <w:rFonts w:ascii="Times New Roman" w:cs="Times New Roman" w:hAnsi="Times New Roman"/>
          <w:sz w:val="24"/>
          <w:szCs w:val="24"/>
        </w:rPr>
        <w:t>centers</w:t>
      </w:r>
      <w:r>
        <w:rPr>
          <w:rFonts w:ascii="Times New Roman" w:cs="Times New Roman" w:hAnsi="Times New Roman"/>
          <w:sz w:val="24"/>
          <w:szCs w:val="24"/>
        </w:rPr>
        <w:t xml:space="preserve"> </w:t>
      </w:r>
      <w:r>
        <w:rPr>
          <w:rFonts w:ascii="Times New Roman" w:cs="Times New Roman" w:hAnsi="Times New Roman"/>
          <w:sz w:val="24"/>
          <w:szCs w:val="24"/>
        </w:rPr>
        <w:t>around</w:t>
      </w:r>
      <w:r>
        <w:rPr>
          <w:rFonts w:ascii="Times New Roman" w:cs="Times New Roman" w:hAnsi="Times New Roman"/>
          <w:sz w:val="24"/>
          <w:szCs w:val="24"/>
        </w:rPr>
        <w:t xml:space="preserve"> area, proprietorship and </w:t>
      </w:r>
      <w:r>
        <w:rPr>
          <w:rFonts w:ascii="Times New Roman" w:cs="Times New Roman" w:hAnsi="Times New Roman"/>
          <w:sz w:val="24"/>
          <w:szCs w:val="24"/>
        </w:rPr>
        <w:t>internalizations</w:t>
      </w:r>
      <w:r>
        <w:rPr>
          <w:rFonts w:ascii="Times New Roman" w:cs="Times New Roman" w:hAnsi="Times New Roman"/>
          <w:sz w:val="24"/>
          <w:szCs w:val="24"/>
        </w:rPr>
        <w:t xml:space="preserve"> preferences. The possession advantage alludes to helping the </w:t>
      </w:r>
      <w:r>
        <w:rPr>
          <w:rFonts w:ascii="Times New Roman" w:cs="Times New Roman" w:hAnsi="Times New Roman"/>
          <w:sz w:val="24"/>
          <w:szCs w:val="24"/>
        </w:rPr>
        <w:t>foreign</w:t>
      </w:r>
      <w:r>
        <w:rPr>
          <w:rFonts w:ascii="Times New Roman" w:cs="Times New Roman" w:hAnsi="Times New Roman"/>
          <w:sz w:val="24"/>
          <w:szCs w:val="24"/>
        </w:rPr>
        <w:t xml:space="preserve"> firm to conquer the inconveniences of rivalry against </w:t>
      </w:r>
      <w:r>
        <w:rPr>
          <w:rFonts w:ascii="Times New Roman" w:cs="Times New Roman" w:hAnsi="Times New Roman"/>
          <w:sz w:val="24"/>
          <w:szCs w:val="24"/>
        </w:rPr>
        <w:t>local</w:t>
      </w:r>
      <w:r>
        <w:rPr>
          <w:rFonts w:ascii="Times New Roman" w:cs="Times New Roman" w:hAnsi="Times New Roman"/>
          <w:sz w:val="24"/>
          <w:szCs w:val="24"/>
        </w:rPr>
        <w:t xml:space="preserve"> firms Dunning (1980.11) and </w:t>
      </w:r>
      <w:r>
        <w:rPr>
          <w:rFonts w:ascii="Times New Roman" w:cs="Times New Roman" w:hAnsi="Times New Roman"/>
          <w:sz w:val="24"/>
          <w:szCs w:val="24"/>
        </w:rPr>
        <w:t>Erra</w:t>
      </w:r>
      <w:r>
        <w:rPr>
          <w:rFonts w:ascii="Times New Roman" w:cs="Times New Roman" w:hAnsi="Times New Roman"/>
          <w:sz w:val="24"/>
          <w:szCs w:val="24"/>
        </w:rPr>
        <w:t>milli</w:t>
      </w:r>
      <w:r>
        <w:rPr>
          <w:rFonts w:ascii="Times New Roman" w:cs="Times New Roman" w:hAnsi="Times New Roman"/>
          <w:sz w:val="24"/>
          <w:szCs w:val="24"/>
        </w:rPr>
        <w:t>, (1990</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Organization Overview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Global experience is a basic factor clarifying the </w:t>
      </w:r>
      <w:r>
        <w:rPr>
          <w:rFonts w:ascii="Times New Roman" w:cs="Times New Roman" w:hAnsi="Times New Roman"/>
          <w:sz w:val="24"/>
          <w:szCs w:val="24"/>
        </w:rPr>
        <w:t>entry mode</w:t>
      </w:r>
      <w:r>
        <w:rPr>
          <w:rFonts w:ascii="Times New Roman" w:cs="Times New Roman" w:hAnsi="Times New Roman"/>
          <w:sz w:val="24"/>
          <w:szCs w:val="24"/>
        </w:rPr>
        <w:t xml:space="preserve"> decision of internationalizing firms. For a precedent in Zhao, </w:t>
      </w:r>
      <w:r>
        <w:rPr>
          <w:rFonts w:ascii="Times New Roman" w:cs="Times New Roman" w:hAnsi="Times New Roman"/>
          <w:sz w:val="24"/>
          <w:szCs w:val="24"/>
        </w:rPr>
        <w:t>Luo</w:t>
      </w:r>
      <w:r>
        <w:rPr>
          <w:rFonts w:ascii="Times New Roman" w:cs="Times New Roman" w:hAnsi="Times New Roman"/>
          <w:sz w:val="24"/>
          <w:szCs w:val="24"/>
        </w:rPr>
        <w:t xml:space="preserve">, and </w:t>
      </w:r>
      <w:r>
        <w:rPr>
          <w:rFonts w:ascii="Times New Roman" w:cs="Times New Roman" w:hAnsi="Times New Roman"/>
          <w:sz w:val="24"/>
          <w:szCs w:val="24"/>
        </w:rPr>
        <w:t>Suh</w:t>
      </w:r>
      <w:r>
        <w:rPr>
          <w:rFonts w:ascii="Times New Roman" w:cs="Times New Roman" w:hAnsi="Times New Roman"/>
          <w:sz w:val="24"/>
          <w:szCs w:val="24"/>
        </w:rPr>
        <w:t xml:space="preserve"> (2004), in their meta-investigation distinguished that, 30 out of the 38 exact examinations on </w:t>
      </w:r>
      <w:r>
        <w:rPr>
          <w:rFonts w:ascii="Times New Roman" w:cs="Times New Roman" w:hAnsi="Times New Roman"/>
          <w:sz w:val="24"/>
          <w:szCs w:val="24"/>
        </w:rPr>
        <w:t>entry mode</w:t>
      </w:r>
      <w:r>
        <w:rPr>
          <w:rFonts w:ascii="Times New Roman" w:cs="Times New Roman" w:hAnsi="Times New Roman"/>
          <w:sz w:val="24"/>
          <w:szCs w:val="24"/>
        </w:rPr>
        <w:t xml:space="preserve">s, estimated some type of </w:t>
      </w:r>
      <w:r>
        <w:rPr>
          <w:rFonts w:ascii="Times New Roman" w:cs="Times New Roman" w:hAnsi="Times New Roman"/>
          <w:sz w:val="24"/>
          <w:szCs w:val="24"/>
        </w:rPr>
        <w:t>international</w:t>
      </w:r>
      <w:r>
        <w:rPr>
          <w:rFonts w:ascii="Times New Roman" w:cs="Times New Roman" w:hAnsi="Times New Roman"/>
          <w:sz w:val="24"/>
          <w:szCs w:val="24"/>
        </w:rPr>
        <w:t xml:space="preserve"> encounters. Less experienced firms will in general see impressive vulnerability, exaggerate hazards and downplay returns (Davidson, 1982), which makes them pick shared control modes (</w:t>
      </w:r>
      <w:r>
        <w:rPr>
          <w:rFonts w:ascii="Times New Roman" w:cs="Times New Roman" w:hAnsi="Times New Roman"/>
          <w:sz w:val="24"/>
          <w:szCs w:val="24"/>
        </w:rPr>
        <w:t>Johanson</w:t>
      </w:r>
      <w:r>
        <w:rPr>
          <w:rFonts w:ascii="Times New Roman" w:cs="Times New Roman" w:hAnsi="Times New Roman"/>
          <w:sz w:val="24"/>
          <w:szCs w:val="24"/>
        </w:rPr>
        <w:t xml:space="preserve"> and </w:t>
      </w:r>
      <w:r>
        <w:rPr>
          <w:rFonts w:ascii="Times New Roman" w:cs="Times New Roman" w:hAnsi="Times New Roman"/>
          <w:sz w:val="24"/>
          <w:szCs w:val="24"/>
        </w:rPr>
        <w:t>Vahlne</w:t>
      </w:r>
      <w:r>
        <w:rPr>
          <w:rFonts w:ascii="Times New Roman" w:cs="Times New Roman" w:hAnsi="Times New Roman"/>
          <w:sz w:val="24"/>
          <w:szCs w:val="24"/>
        </w:rPr>
        <w:t xml:space="preserve">, 1977). Accordingly the theory recommends that with more experience, firms will lean toward more control and willing to submit more </w:t>
      </w:r>
      <w:r>
        <w:rPr>
          <w:rFonts w:ascii="Times New Roman" w:cs="Times New Roman" w:hAnsi="Times New Roman"/>
          <w:sz w:val="24"/>
          <w:szCs w:val="24"/>
        </w:rPr>
        <w:t>funds</w:t>
      </w:r>
      <w:r>
        <w:rPr>
          <w:rFonts w:ascii="Times New Roman" w:cs="Times New Roman" w:hAnsi="Times New Roman"/>
          <w:sz w:val="24"/>
          <w:szCs w:val="24"/>
        </w:rPr>
        <w:t xml:space="preserve"> (Anderson and </w:t>
      </w:r>
      <w:r>
        <w:rPr>
          <w:rFonts w:ascii="Times New Roman" w:cs="Times New Roman" w:hAnsi="Times New Roman"/>
          <w:sz w:val="24"/>
          <w:szCs w:val="24"/>
        </w:rPr>
        <w:t>Gatignon</w:t>
      </w:r>
      <w:r>
        <w:rPr>
          <w:rFonts w:ascii="Times New Roman" w:cs="Times New Roman" w:hAnsi="Times New Roman"/>
          <w:sz w:val="24"/>
          <w:szCs w:val="24"/>
        </w:rPr>
        <w:t xml:space="preserve">, 1986b).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However,</w:t>
      </w:r>
      <w:r>
        <w:rPr>
          <w:rFonts w:ascii="Times New Roman" w:cs="Times New Roman" w:hAnsi="Times New Roman"/>
          <w:sz w:val="24"/>
          <w:szCs w:val="24"/>
        </w:rPr>
        <w:t xml:space="preserve"> NPOs have </w:t>
      </w:r>
      <w:r>
        <w:rPr>
          <w:rFonts w:ascii="Times New Roman" w:cs="Times New Roman" w:hAnsi="Times New Roman"/>
          <w:sz w:val="24"/>
          <w:szCs w:val="24"/>
        </w:rPr>
        <w:t>different goals</w:t>
      </w:r>
      <w:r>
        <w:rPr>
          <w:rFonts w:ascii="Times New Roman" w:cs="Times New Roman" w:hAnsi="Times New Roman"/>
          <w:sz w:val="24"/>
          <w:szCs w:val="24"/>
        </w:rPr>
        <w:t>; as they are more stressed over the positive social change they can make through enhancement of personal satisfaction. In this manner NPOs with more experience would have the capacity to pick the correct accomplices and will have the capacity to oversee them</w:t>
      </w:r>
      <w:r>
        <w:rPr>
          <w:rFonts w:ascii="Times New Roman" w:cs="Times New Roman" w:hAnsi="Times New Roman"/>
          <w:sz w:val="24"/>
          <w:szCs w:val="24"/>
        </w:rPr>
        <w:t xml:space="preserve"> in a nice manner</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Heifer International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Heifer International is a charitable organization </w:t>
      </w:r>
      <w:r>
        <w:rPr>
          <w:rFonts w:ascii="Times New Roman" w:cs="Times New Roman" w:hAnsi="Times New Roman"/>
          <w:sz w:val="24"/>
          <w:szCs w:val="24"/>
        </w:rPr>
        <w:t>inspired</w:t>
      </w:r>
      <w:r>
        <w:rPr>
          <w:rFonts w:ascii="Times New Roman" w:cs="Times New Roman" w:hAnsi="Times New Roman"/>
          <w:sz w:val="24"/>
          <w:szCs w:val="24"/>
        </w:rPr>
        <w:t xml:space="preserve"> by the "show a man to angle" theory that means to end world craving and unite networks by giving families in need a practical wellspring of sustenance and salary: animals. </w:t>
      </w:r>
      <w:r>
        <w:rPr>
          <w:rFonts w:ascii="Times New Roman" w:cs="Times New Roman" w:hAnsi="Times New Roman"/>
          <w:sz w:val="24"/>
          <w:szCs w:val="24"/>
        </w:rPr>
        <w:t>Donor</w:t>
      </w:r>
      <w:r>
        <w:rPr>
          <w:rFonts w:ascii="Times New Roman" w:cs="Times New Roman" w:hAnsi="Times New Roman"/>
          <w:sz w:val="24"/>
          <w:szCs w:val="24"/>
        </w:rPr>
        <w:t xml:space="preserve">s can contribute </w:t>
      </w:r>
      <w:r>
        <w:rPr>
          <w:rFonts w:ascii="Times New Roman" w:cs="Times New Roman" w:hAnsi="Times New Roman"/>
          <w:sz w:val="24"/>
          <w:szCs w:val="24"/>
        </w:rPr>
        <w:t>funds</w:t>
      </w:r>
      <w:r>
        <w:rPr>
          <w:rFonts w:ascii="Times New Roman" w:cs="Times New Roman" w:hAnsi="Times New Roman"/>
          <w:sz w:val="24"/>
          <w:szCs w:val="24"/>
        </w:rPr>
        <w:t xml:space="preserve"> to give ruined families goats, sheep, dairy animals, chickens and even </w:t>
      </w:r>
      <w:r>
        <w:rPr>
          <w:rFonts w:ascii="Times New Roman" w:cs="Times New Roman" w:hAnsi="Times New Roman"/>
          <w:sz w:val="24"/>
          <w:szCs w:val="24"/>
        </w:rPr>
        <w:t>honey</w:t>
      </w:r>
      <w:r>
        <w:rPr>
          <w:rFonts w:ascii="Times New Roman" w:cs="Times New Roman" w:hAnsi="Times New Roman"/>
          <w:sz w:val="24"/>
          <w:szCs w:val="24"/>
        </w:rPr>
        <w:t xml:space="preserve">bees, among different animals. These </w:t>
      </w:r>
      <w:r>
        <w:rPr>
          <w:rFonts w:ascii="Times New Roman" w:cs="Times New Roman" w:hAnsi="Times New Roman"/>
          <w:sz w:val="24"/>
          <w:szCs w:val="24"/>
        </w:rPr>
        <w:t xml:space="preserve">animals provide </w:t>
      </w:r>
      <w:r>
        <w:rPr>
          <w:rFonts w:ascii="Times New Roman" w:cs="Times New Roman" w:hAnsi="Times New Roman"/>
          <w:sz w:val="24"/>
          <w:szCs w:val="24"/>
        </w:rPr>
        <w:t xml:space="preserve">families </w:t>
      </w:r>
      <w:r>
        <w:rPr>
          <w:rFonts w:ascii="Times New Roman" w:cs="Times New Roman" w:hAnsi="Times New Roman"/>
          <w:sz w:val="24"/>
          <w:szCs w:val="24"/>
        </w:rPr>
        <w:t>with food and agricultural products</w:t>
      </w:r>
      <w:r>
        <w:rPr>
          <w:rFonts w:ascii="Times New Roman" w:cs="Times New Roman" w:hAnsi="Times New Roman"/>
          <w:sz w:val="24"/>
          <w:szCs w:val="24"/>
        </w:rPr>
        <w:t xml:space="preserve"> like eggs</w:t>
      </w:r>
      <w:r>
        <w:rPr>
          <w:rFonts w:ascii="Times New Roman" w:cs="Times New Roman" w:hAnsi="Times New Roman"/>
          <w:sz w:val="24"/>
          <w:szCs w:val="24"/>
        </w:rPr>
        <w:t>, milk</w:t>
      </w:r>
      <w:r>
        <w:rPr>
          <w:rFonts w:ascii="Times New Roman" w:cs="Times New Roman" w:hAnsi="Times New Roman"/>
          <w:sz w:val="24"/>
          <w:szCs w:val="24"/>
        </w:rPr>
        <w:t xml:space="preserve"> and nectar that can be sold or exchanged. Heifer International additionally works on a show proactive kindness plan of action that the organization calls "Passing on the Gift." This guarantees families who are furnished with domesticated animals will pass on their creature's first female posterity to another family in need, and also share the preparation they've gotten from the organization.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Through an inventive device called Pro-Poor Wealth Creating Value Chain, Heifer is adequately changing the financial state of families in the Asian locale. This methodology joins Heifer's Values-Based Holistic Community Development approach with esteem chains to make agriculturists more aggressive in the commercial </w:t>
      </w:r>
      <w:r>
        <w:rPr>
          <w:rFonts w:ascii="Times New Roman" w:cs="Times New Roman" w:hAnsi="Times New Roman"/>
          <w:sz w:val="24"/>
          <w:szCs w:val="24"/>
        </w:rPr>
        <w:t>center</w:t>
      </w:r>
      <w:r>
        <w:rPr>
          <w:rFonts w:ascii="Times New Roman" w:cs="Times New Roman" w:hAnsi="Times New Roman"/>
          <w:sz w:val="24"/>
          <w:szCs w:val="24"/>
        </w:rPr>
        <w:t xml:space="preserve"> and gain more wage (Heifer,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Organization Evaluation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As pointed out above, </w:t>
      </w:r>
      <w:r>
        <w:rPr>
          <w:rFonts w:ascii="Times New Roman" w:cs="Times New Roman" w:hAnsi="Times New Roman"/>
          <w:sz w:val="24"/>
          <w:szCs w:val="24"/>
        </w:rPr>
        <w:t>eclectic</w:t>
      </w:r>
      <w:r>
        <w:rPr>
          <w:rFonts w:ascii="Times New Roman" w:cs="Times New Roman" w:hAnsi="Times New Roman"/>
          <w:sz w:val="24"/>
          <w:szCs w:val="24"/>
        </w:rPr>
        <w:t xml:space="preserve"> theory recommends that bigger the measure of the firm, more prominent the propensity for that firm to choose a full control </w:t>
      </w:r>
      <w:r>
        <w:rPr>
          <w:rFonts w:ascii="Times New Roman" w:cs="Times New Roman" w:hAnsi="Times New Roman"/>
          <w:sz w:val="24"/>
          <w:szCs w:val="24"/>
        </w:rPr>
        <w:t>entry mode</w:t>
      </w:r>
      <w:r>
        <w:rPr>
          <w:rFonts w:ascii="Times New Roman" w:cs="Times New Roman" w:hAnsi="Times New Roman"/>
          <w:sz w:val="24"/>
          <w:szCs w:val="24"/>
        </w:rPr>
        <w:t xml:space="preserve"> (Anderson and </w:t>
      </w:r>
      <w:r>
        <w:rPr>
          <w:rFonts w:ascii="Times New Roman" w:cs="Times New Roman" w:hAnsi="Times New Roman"/>
          <w:sz w:val="24"/>
          <w:szCs w:val="24"/>
        </w:rPr>
        <w:t>Gatignon</w:t>
      </w:r>
      <w:r>
        <w:rPr>
          <w:rFonts w:ascii="Times New Roman" w:cs="Times New Roman" w:hAnsi="Times New Roman"/>
          <w:sz w:val="24"/>
          <w:szCs w:val="24"/>
        </w:rPr>
        <w:t xml:space="preserve">, 1986b). This is on account of bigger the extent of the firm, more noteworthy the </w:t>
      </w:r>
      <w:r>
        <w:rPr>
          <w:rFonts w:ascii="Times New Roman" w:cs="Times New Roman" w:hAnsi="Times New Roman"/>
          <w:sz w:val="24"/>
          <w:szCs w:val="24"/>
        </w:rPr>
        <w:t>funds</w:t>
      </w:r>
      <w:r>
        <w:rPr>
          <w:rFonts w:ascii="Times New Roman" w:cs="Times New Roman" w:hAnsi="Times New Roman"/>
          <w:sz w:val="24"/>
          <w:szCs w:val="24"/>
        </w:rPr>
        <w:t xml:space="preserve"> it directions, and </w:t>
      </w:r>
      <w:r>
        <w:rPr>
          <w:rFonts w:ascii="Times New Roman" w:cs="Times New Roman" w:hAnsi="Times New Roman"/>
          <w:sz w:val="24"/>
          <w:szCs w:val="24"/>
        </w:rPr>
        <w:t>funds</w:t>
      </w:r>
      <w:r>
        <w:rPr>
          <w:rFonts w:ascii="Times New Roman" w:cs="Times New Roman" w:hAnsi="Times New Roman"/>
          <w:sz w:val="24"/>
          <w:szCs w:val="24"/>
        </w:rPr>
        <w:t xml:space="preserve"> are basic elements for any firm, not exclusively to grow yet in addition to endure. Full control </w:t>
      </w:r>
      <w:r>
        <w:rPr>
          <w:rFonts w:ascii="Times New Roman" w:cs="Times New Roman" w:hAnsi="Times New Roman"/>
          <w:sz w:val="24"/>
          <w:szCs w:val="24"/>
        </w:rPr>
        <w:t>entry mode</w:t>
      </w:r>
      <w:r>
        <w:rPr>
          <w:rFonts w:ascii="Times New Roman" w:cs="Times New Roman" w:hAnsi="Times New Roman"/>
          <w:sz w:val="24"/>
          <w:szCs w:val="24"/>
        </w:rPr>
        <w:t xml:space="preserve">s similarly require more </w:t>
      </w:r>
      <w:r>
        <w:rPr>
          <w:rFonts w:ascii="Times New Roman" w:cs="Times New Roman" w:hAnsi="Times New Roman"/>
          <w:sz w:val="24"/>
          <w:szCs w:val="24"/>
        </w:rPr>
        <w:t>funds</w:t>
      </w:r>
      <w:r>
        <w:rPr>
          <w:rFonts w:ascii="Times New Roman" w:cs="Times New Roman" w:hAnsi="Times New Roman"/>
          <w:sz w:val="24"/>
          <w:szCs w:val="24"/>
        </w:rPr>
        <w:t xml:space="preserve"> and this remains constant regardless of the reality of what business you are in (Anderson and </w:t>
      </w:r>
      <w:r>
        <w:rPr>
          <w:rFonts w:ascii="Times New Roman" w:cs="Times New Roman" w:hAnsi="Times New Roman"/>
          <w:sz w:val="24"/>
          <w:szCs w:val="24"/>
        </w:rPr>
        <w:t>Gatignon</w:t>
      </w:r>
      <w:r>
        <w:rPr>
          <w:rFonts w:ascii="Times New Roman" w:cs="Times New Roman" w:hAnsi="Times New Roman"/>
          <w:sz w:val="24"/>
          <w:szCs w:val="24"/>
        </w:rPr>
        <w:t xml:space="preserve">, 1986a). </w:t>
      </w:r>
      <w:r>
        <w:rPr>
          <w:rFonts w:ascii="Times New Roman" w:cs="Times New Roman" w:hAnsi="Times New Roman"/>
          <w:sz w:val="24"/>
          <w:szCs w:val="24"/>
        </w:rPr>
        <w:t>Further</w:t>
      </w:r>
      <w:r>
        <w:rPr>
          <w:rFonts w:ascii="Times New Roman" w:cs="Times New Roman" w:hAnsi="Times New Roman"/>
          <w:sz w:val="24"/>
          <w:szCs w:val="24"/>
        </w:rPr>
        <w:t>m</w:t>
      </w:r>
      <w:r>
        <w:rPr>
          <w:rFonts w:ascii="Times New Roman" w:cs="Times New Roman" w:hAnsi="Times New Roman"/>
          <w:sz w:val="24"/>
          <w:szCs w:val="24"/>
        </w:rPr>
        <w:t>ore</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funds</w:t>
      </w:r>
      <w:r>
        <w:rPr>
          <w:rFonts w:ascii="Times New Roman" w:cs="Times New Roman" w:hAnsi="Times New Roman"/>
          <w:sz w:val="24"/>
          <w:szCs w:val="24"/>
        </w:rPr>
        <w:t xml:space="preserve"> will enable firms to target bigger markets. A profit driven firm will need to take the </w:t>
      </w:r>
      <w:r>
        <w:rPr>
          <w:rFonts w:ascii="Times New Roman" w:cs="Times New Roman" w:hAnsi="Times New Roman"/>
          <w:sz w:val="24"/>
          <w:szCs w:val="24"/>
        </w:rPr>
        <w:t>profit</w:t>
      </w:r>
      <w:r>
        <w:rPr>
          <w:rFonts w:ascii="Times New Roman" w:cs="Times New Roman" w:hAnsi="Times New Roman"/>
          <w:sz w:val="24"/>
          <w:szCs w:val="24"/>
        </w:rPr>
        <w:t xml:space="preserve"> of a bigger market by making a completely possessed backup with more prominent control. Bigger markets can adjust for higher dangers in the types of significantly bigger and more prominent returns (</w:t>
      </w:r>
      <w:r>
        <w:rPr>
          <w:rFonts w:ascii="Times New Roman" w:cs="Times New Roman" w:hAnsi="Times New Roman"/>
          <w:sz w:val="24"/>
          <w:szCs w:val="24"/>
        </w:rPr>
        <w:t>Agarwal</w:t>
      </w:r>
      <w:r>
        <w:rPr>
          <w:rFonts w:ascii="Times New Roman" w:cs="Times New Roman" w:hAnsi="Times New Roman"/>
          <w:sz w:val="24"/>
          <w:szCs w:val="24"/>
        </w:rPr>
        <w:t xml:space="preserve"> and </w:t>
      </w:r>
      <w:r>
        <w:rPr>
          <w:rFonts w:ascii="Times New Roman" w:cs="Times New Roman" w:hAnsi="Times New Roman"/>
          <w:sz w:val="24"/>
          <w:szCs w:val="24"/>
        </w:rPr>
        <w:t>Gort</w:t>
      </w:r>
      <w:r>
        <w:rPr>
          <w:rFonts w:ascii="Times New Roman" w:cs="Times New Roman" w:hAnsi="Times New Roman"/>
          <w:sz w:val="24"/>
          <w:szCs w:val="24"/>
        </w:rPr>
        <w:t xml:space="preserve">, 1996).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However,</w:t>
      </w:r>
      <w:r>
        <w:rPr>
          <w:rFonts w:ascii="Times New Roman" w:cs="Times New Roman" w:hAnsi="Times New Roman"/>
          <w:sz w:val="24"/>
          <w:szCs w:val="24"/>
        </w:rPr>
        <w:t xml:space="preserve"> contrasted </w:t>
      </w:r>
      <w:r>
        <w:rPr>
          <w:rFonts w:ascii="Times New Roman" w:cs="Times New Roman" w:hAnsi="Times New Roman"/>
          <w:sz w:val="24"/>
          <w:szCs w:val="24"/>
        </w:rPr>
        <w:t>with</w:t>
      </w:r>
      <w:r>
        <w:rPr>
          <w:rFonts w:ascii="Times New Roman" w:cs="Times New Roman" w:hAnsi="Times New Roman"/>
          <w:sz w:val="24"/>
          <w:szCs w:val="24"/>
        </w:rPr>
        <w:t xml:space="preserve"> profit driven firms NPOs have constrained </w:t>
      </w:r>
      <w:r>
        <w:rPr>
          <w:rFonts w:ascii="Times New Roman" w:cs="Times New Roman" w:hAnsi="Times New Roman"/>
          <w:sz w:val="24"/>
          <w:szCs w:val="24"/>
        </w:rPr>
        <w:t>funds</w:t>
      </w:r>
      <w:r>
        <w:rPr>
          <w:rFonts w:ascii="Times New Roman" w:cs="Times New Roman" w:hAnsi="Times New Roman"/>
          <w:sz w:val="24"/>
          <w:szCs w:val="24"/>
        </w:rPr>
        <w:t xml:space="preserve"> (</w:t>
      </w:r>
      <w:r>
        <w:rPr>
          <w:rFonts w:ascii="Times New Roman" w:cs="Times New Roman" w:hAnsi="Times New Roman"/>
          <w:sz w:val="24"/>
          <w:szCs w:val="24"/>
        </w:rPr>
        <w:t>Drucker</w:t>
      </w:r>
      <w:r>
        <w:rPr>
          <w:rFonts w:ascii="Times New Roman" w:cs="Times New Roman" w:hAnsi="Times New Roman"/>
          <w:sz w:val="24"/>
          <w:szCs w:val="24"/>
        </w:rPr>
        <w:t>, 1989). NPOs which depend on gifts, are finding these gifts diminishing throughout the years (</w:t>
      </w:r>
      <w:r>
        <w:rPr>
          <w:rFonts w:ascii="Times New Roman" w:cs="Times New Roman" w:hAnsi="Times New Roman"/>
          <w:sz w:val="24"/>
          <w:szCs w:val="24"/>
        </w:rPr>
        <w:t>Salamon</w:t>
      </w:r>
      <w:r>
        <w:rPr>
          <w:rFonts w:ascii="Times New Roman" w:cs="Times New Roman" w:hAnsi="Times New Roman"/>
          <w:sz w:val="24"/>
          <w:szCs w:val="24"/>
        </w:rPr>
        <w:t xml:space="preserve">, 1999) particularly with the monetary </w:t>
      </w:r>
      <w:r>
        <w:rPr>
          <w:rFonts w:ascii="Times New Roman" w:cs="Times New Roman" w:hAnsi="Times New Roman"/>
          <w:sz w:val="24"/>
          <w:szCs w:val="24"/>
        </w:rPr>
        <w:t>retreat .</w:t>
      </w:r>
      <w:r>
        <w:rPr>
          <w:rFonts w:ascii="Times New Roman" w:cs="Times New Roman" w:hAnsi="Times New Roman"/>
          <w:sz w:val="24"/>
          <w:szCs w:val="24"/>
        </w:rPr>
        <w:t xml:space="preserve"> Asset limitations are one of the significant explanations for NPO organizations. Besides, since NPOs are not there to make </w:t>
      </w:r>
      <w:r>
        <w:rPr>
          <w:rFonts w:ascii="Times New Roman" w:cs="Times New Roman" w:hAnsi="Times New Roman"/>
          <w:sz w:val="24"/>
          <w:szCs w:val="24"/>
        </w:rPr>
        <w:t>profit</w:t>
      </w:r>
      <w:r>
        <w:rPr>
          <w:rFonts w:ascii="Times New Roman" w:cs="Times New Roman" w:hAnsi="Times New Roman"/>
          <w:sz w:val="24"/>
          <w:szCs w:val="24"/>
        </w:rPr>
        <w:t xml:space="preserve">s, they will collaborate with </w:t>
      </w:r>
      <w:r>
        <w:rPr>
          <w:rFonts w:ascii="Times New Roman" w:cs="Times New Roman" w:hAnsi="Times New Roman"/>
          <w:sz w:val="24"/>
          <w:szCs w:val="24"/>
        </w:rPr>
        <w:t>local</w:t>
      </w:r>
      <w:r>
        <w:rPr>
          <w:rFonts w:ascii="Times New Roman" w:cs="Times New Roman" w:hAnsi="Times New Roman"/>
          <w:sz w:val="24"/>
          <w:szCs w:val="24"/>
        </w:rPr>
        <w:t xml:space="preserve"> players as long as the two gatherings have comparative goals. Thusly to the extent NPOs are concerned, when there are </w:t>
      </w:r>
      <w:r>
        <w:rPr>
          <w:rFonts w:ascii="Times New Roman" w:cs="Times New Roman" w:hAnsi="Times New Roman"/>
          <w:sz w:val="24"/>
          <w:szCs w:val="24"/>
        </w:rPr>
        <w:t>funds</w:t>
      </w:r>
      <w:r>
        <w:rPr>
          <w:rFonts w:ascii="Times New Roman" w:cs="Times New Roman" w:hAnsi="Times New Roman"/>
          <w:sz w:val="24"/>
          <w:szCs w:val="24"/>
        </w:rPr>
        <w:t xml:space="preserve"> requirements, NPOs need to utilize shared control modes. Consequently this is indistinguishable case from for-</w:t>
      </w:r>
      <w:r>
        <w:rPr>
          <w:rFonts w:ascii="Times New Roman" w:cs="Times New Roman" w:hAnsi="Times New Roman"/>
          <w:sz w:val="24"/>
          <w:szCs w:val="24"/>
        </w:rPr>
        <w:t>profit</w:t>
      </w:r>
      <w:r>
        <w:rPr>
          <w:rFonts w:ascii="Times New Roman" w:cs="Times New Roman" w:hAnsi="Times New Roman"/>
          <w:sz w:val="24"/>
          <w:szCs w:val="24"/>
        </w:rPr>
        <w:t xml:space="preserve">s. However, then again notwithstanding when NPOs are </w:t>
      </w:r>
      <w:r>
        <w:rPr>
          <w:rFonts w:ascii="Times New Roman" w:cs="Times New Roman" w:hAnsi="Times New Roman"/>
          <w:sz w:val="24"/>
          <w:szCs w:val="24"/>
        </w:rPr>
        <w:t xml:space="preserve">vast and have critical measure of </w:t>
      </w:r>
      <w:r>
        <w:rPr>
          <w:rFonts w:ascii="Times New Roman" w:cs="Times New Roman" w:hAnsi="Times New Roman"/>
          <w:sz w:val="24"/>
          <w:szCs w:val="24"/>
        </w:rPr>
        <w:t>funds</w:t>
      </w:r>
      <w:r>
        <w:rPr>
          <w:rFonts w:ascii="Times New Roman" w:cs="Times New Roman" w:hAnsi="Times New Roman"/>
          <w:sz w:val="24"/>
          <w:szCs w:val="24"/>
        </w:rPr>
        <w:t xml:space="preserve">, they will in any case support shared control </w:t>
      </w:r>
      <w:r>
        <w:rPr>
          <w:rFonts w:ascii="Times New Roman" w:cs="Times New Roman" w:hAnsi="Times New Roman"/>
          <w:sz w:val="24"/>
          <w:szCs w:val="24"/>
        </w:rPr>
        <w:t>entry mode</w:t>
      </w:r>
      <w:r>
        <w:rPr>
          <w:rFonts w:ascii="Times New Roman" w:cs="Times New Roman" w:hAnsi="Times New Roman"/>
          <w:sz w:val="24"/>
          <w:szCs w:val="24"/>
        </w:rPr>
        <w:t xml:space="preserve">s given that they can locate the correct accomplice.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Finding a correct accomplice is alluded to as finding a "characteristic accomplice". "In the event that a </w:t>
      </w:r>
      <w:r>
        <w:rPr>
          <w:rFonts w:ascii="Times New Roman" w:cs="Times New Roman" w:hAnsi="Times New Roman"/>
          <w:sz w:val="24"/>
          <w:szCs w:val="24"/>
        </w:rPr>
        <w:t>local</w:t>
      </w:r>
      <w:r>
        <w:rPr>
          <w:rFonts w:ascii="Times New Roman" w:cs="Times New Roman" w:hAnsi="Times New Roman"/>
          <w:sz w:val="24"/>
          <w:szCs w:val="24"/>
        </w:rPr>
        <w:t xml:space="preserve"> accomplice has comparable interests, targets and expected recipients, similar to the internationalizing NPO, at that point the </w:t>
      </w:r>
      <w:r>
        <w:rPr>
          <w:rFonts w:ascii="Times New Roman" w:cs="Times New Roman" w:hAnsi="Times New Roman"/>
          <w:sz w:val="24"/>
          <w:szCs w:val="24"/>
        </w:rPr>
        <w:t>local</w:t>
      </w:r>
      <w:r>
        <w:rPr>
          <w:rFonts w:ascii="Times New Roman" w:cs="Times New Roman" w:hAnsi="Times New Roman"/>
          <w:sz w:val="24"/>
          <w:szCs w:val="24"/>
        </w:rPr>
        <w:t xml:space="preserve"> accomplice can be known as a characteristic accomplice. Expanding number of NPOs today understand the significance of working together with right a</w:t>
      </w:r>
      <w:r>
        <w:rPr>
          <w:rFonts w:ascii="Times New Roman" w:cs="Times New Roman" w:hAnsi="Times New Roman"/>
          <w:sz w:val="24"/>
          <w:szCs w:val="24"/>
        </w:rPr>
        <w:t>ccomplices for effective tasks</w:t>
      </w:r>
      <w:r>
        <w:rPr>
          <w:rFonts w:ascii="Times New Roman" w:cs="Times New Roman" w:hAnsi="Times New Roman"/>
          <w:sz w:val="24"/>
          <w:szCs w:val="24"/>
        </w:rPr>
        <w:t xml:space="preserve">. From a NPO's perspective in the event that you can pick the correct accomplice, shared control modes will make a superior effect in the </w:t>
      </w:r>
      <w:r>
        <w:rPr>
          <w:rFonts w:ascii="Times New Roman" w:cs="Times New Roman" w:hAnsi="Times New Roman"/>
          <w:sz w:val="24"/>
          <w:szCs w:val="24"/>
        </w:rPr>
        <w:t>local</w:t>
      </w:r>
      <w:r>
        <w:rPr>
          <w:rFonts w:ascii="Times New Roman" w:cs="Times New Roman" w:hAnsi="Times New Roman"/>
          <w:sz w:val="24"/>
          <w:szCs w:val="24"/>
        </w:rPr>
        <w:t xml:space="preserve"> network than full control modes.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Root (1987) distinguished four fundamental sorts of </w:t>
      </w:r>
      <w:r>
        <w:rPr>
          <w:rFonts w:ascii="Times New Roman" w:cs="Times New Roman" w:hAnsi="Times New Roman"/>
          <w:sz w:val="24"/>
          <w:szCs w:val="24"/>
        </w:rPr>
        <w:t>risk</w:t>
      </w:r>
      <w:r>
        <w:rPr>
          <w:rFonts w:ascii="Times New Roman" w:cs="Times New Roman" w:hAnsi="Times New Roman"/>
          <w:sz w:val="24"/>
          <w:szCs w:val="24"/>
        </w:rPr>
        <w:t xml:space="preserve">s, political hazard, possession dangers, operational dangers and </w:t>
      </w:r>
      <w:r>
        <w:rPr>
          <w:rFonts w:ascii="Times New Roman" w:cs="Times New Roman" w:hAnsi="Times New Roman"/>
          <w:sz w:val="24"/>
          <w:szCs w:val="24"/>
        </w:rPr>
        <w:t>transfer</w:t>
      </w:r>
      <w:r>
        <w:rPr>
          <w:rFonts w:ascii="Times New Roman" w:cs="Times New Roman" w:hAnsi="Times New Roman"/>
          <w:sz w:val="24"/>
          <w:szCs w:val="24"/>
        </w:rPr>
        <w:t xml:space="preserve"> dangers. </w:t>
      </w:r>
      <w:r>
        <w:rPr>
          <w:rFonts w:ascii="Times New Roman" w:cs="Times New Roman" w:hAnsi="Times New Roman"/>
          <w:sz w:val="24"/>
          <w:szCs w:val="24"/>
        </w:rPr>
        <w:t>Due to</w:t>
      </w:r>
      <w:r>
        <w:rPr>
          <w:rFonts w:ascii="Times New Roman" w:cs="Times New Roman" w:hAnsi="Times New Roman"/>
          <w:sz w:val="24"/>
          <w:szCs w:val="24"/>
        </w:rPr>
        <w:t xml:space="preserve"> their central goal situated attributes of giving better personal satisfaction, NPOs are ordinarily not stressed over the above dangers the with the exception of operational dangers. For a precedent operational dangers emerging from certain </w:t>
      </w:r>
      <w:r>
        <w:rPr>
          <w:rFonts w:ascii="Times New Roman" w:cs="Times New Roman" w:hAnsi="Times New Roman"/>
          <w:sz w:val="24"/>
          <w:szCs w:val="24"/>
        </w:rPr>
        <w:t>local</w:t>
      </w:r>
      <w:r>
        <w:rPr>
          <w:rFonts w:ascii="Times New Roman" w:cs="Times New Roman" w:hAnsi="Times New Roman"/>
          <w:sz w:val="24"/>
          <w:szCs w:val="24"/>
        </w:rPr>
        <w:t xml:space="preserve"> substance prerequisites, may make clashes with the a</w:t>
      </w:r>
      <w:r>
        <w:rPr>
          <w:rFonts w:ascii="Times New Roman" w:cs="Times New Roman" w:hAnsi="Times New Roman"/>
          <w:sz w:val="24"/>
          <w:szCs w:val="24"/>
        </w:rPr>
        <w:t>dvancement motivation of a NPO</w:t>
      </w:r>
      <w:r>
        <w:rPr>
          <w:rFonts w:ascii="Times New Roman" w:cs="Times New Roman" w:hAnsi="Times New Roman"/>
          <w:sz w:val="24"/>
          <w:szCs w:val="24"/>
        </w:rPr>
        <w:t>. Established theory on for-</w:t>
      </w:r>
      <w:r>
        <w:rPr>
          <w:rFonts w:ascii="Times New Roman" w:cs="Times New Roman" w:hAnsi="Times New Roman"/>
          <w:sz w:val="24"/>
          <w:szCs w:val="24"/>
        </w:rPr>
        <w:t>profit</w:t>
      </w:r>
      <w:r>
        <w:rPr>
          <w:rFonts w:ascii="Times New Roman" w:cs="Times New Roman" w:hAnsi="Times New Roman"/>
          <w:sz w:val="24"/>
          <w:szCs w:val="24"/>
        </w:rPr>
        <w:t xml:space="preserve">s propose that in high hazard circumstances firms would lean toward shared control modes over entirely possessed auxiliaries with full control (Bradley, 2005; Vernon, 1983). This is on account of they anticipate that their </w:t>
      </w:r>
      <w:r>
        <w:rPr>
          <w:rFonts w:ascii="Times New Roman" w:cs="Times New Roman" w:hAnsi="Times New Roman"/>
          <w:sz w:val="24"/>
          <w:szCs w:val="24"/>
        </w:rPr>
        <w:t>local</w:t>
      </w:r>
      <w:r>
        <w:rPr>
          <w:rFonts w:ascii="Times New Roman" w:cs="Times New Roman" w:hAnsi="Times New Roman"/>
          <w:sz w:val="24"/>
          <w:szCs w:val="24"/>
        </w:rPr>
        <w:t xml:space="preserve"> players will </w:t>
      </w:r>
      <w:r>
        <w:rPr>
          <w:rFonts w:ascii="Times New Roman" w:cs="Times New Roman" w:hAnsi="Times New Roman"/>
          <w:sz w:val="24"/>
          <w:szCs w:val="24"/>
        </w:rPr>
        <w:t>g</w:t>
      </w:r>
      <w:r>
        <w:rPr>
          <w:rFonts w:ascii="Times New Roman" w:cs="Times New Roman" w:hAnsi="Times New Roman"/>
          <w:sz w:val="24"/>
          <w:szCs w:val="24"/>
        </w:rPr>
        <w:t>come</w:t>
      </w:r>
      <w:r>
        <w:rPr>
          <w:rFonts w:ascii="Times New Roman" w:cs="Times New Roman" w:hAnsi="Times New Roman"/>
          <w:sz w:val="24"/>
          <w:szCs w:val="24"/>
        </w:rPr>
        <w:t xml:space="preserve"> to positive concurrences with the </w:t>
      </w:r>
      <w:r>
        <w:rPr>
          <w:rFonts w:ascii="Times New Roman" w:cs="Times New Roman" w:hAnsi="Times New Roman"/>
          <w:sz w:val="24"/>
          <w:szCs w:val="24"/>
        </w:rPr>
        <w:t>local</w:t>
      </w:r>
      <w:r>
        <w:rPr>
          <w:rFonts w:ascii="Times New Roman" w:cs="Times New Roman" w:hAnsi="Times New Roman"/>
          <w:sz w:val="24"/>
          <w:szCs w:val="24"/>
        </w:rPr>
        <w:t xml:space="preserve"> governments (Hill et al., 1990). In addition less asset responsibility implies the organization can exit rapidly if the circumstance turns out t</w:t>
      </w:r>
      <w:r>
        <w:rPr>
          <w:rFonts w:ascii="Times New Roman" w:cs="Times New Roman" w:hAnsi="Times New Roman"/>
          <w:sz w:val="24"/>
          <w:szCs w:val="24"/>
        </w:rPr>
        <w:t>o be more terrible</w:t>
      </w:r>
      <w:r>
        <w:rPr>
          <w:rFonts w:ascii="Times New Roman" w:cs="Times New Roman" w:hAnsi="Times New Roman"/>
          <w:sz w:val="24"/>
          <w:szCs w:val="24"/>
        </w:rPr>
        <w:t xml:space="preserve">. </w:t>
      </w:r>
      <w:r>
        <w:rPr>
          <w:rFonts w:ascii="Times New Roman" w:cs="Times New Roman" w:hAnsi="Times New Roman"/>
          <w:sz w:val="24"/>
          <w:szCs w:val="24"/>
        </w:rPr>
        <w:cr/>
      </w:r>
      <w:r>
        <w:rPr>
          <w:rFonts w:ascii="Times New Roman" w:cs="Times New Roman" w:hAnsi="Times New Roman"/>
          <w:sz w:val="24"/>
          <w:szCs w:val="24"/>
        </w:rPr>
        <w:t xml:space="preserve">However, this does not function admirably with NPOs who are basically there to roll out improvements, hence having government cordial </w:t>
      </w:r>
      <w:r>
        <w:rPr>
          <w:rFonts w:ascii="Times New Roman" w:cs="Times New Roman" w:hAnsi="Times New Roman"/>
          <w:sz w:val="24"/>
          <w:szCs w:val="24"/>
        </w:rPr>
        <w:t>local</w:t>
      </w:r>
      <w:r>
        <w:rPr>
          <w:rFonts w:ascii="Times New Roman" w:cs="Times New Roman" w:hAnsi="Times New Roman"/>
          <w:sz w:val="24"/>
          <w:szCs w:val="24"/>
        </w:rPr>
        <w:t xml:space="preserve"> accomplice may be an additional problem for a NPO which may much think about benevolent common insubordination for the thriving of the general population. Along these lines when NPOs feel that their main goal is gambled on account of the </w:t>
      </w:r>
      <w:r>
        <w:rPr>
          <w:rFonts w:ascii="Times New Roman" w:cs="Times New Roman" w:hAnsi="Times New Roman"/>
          <w:sz w:val="24"/>
          <w:szCs w:val="24"/>
        </w:rPr>
        <w:t>local</w:t>
      </w:r>
      <w:r>
        <w:rPr>
          <w:rFonts w:ascii="Times New Roman" w:cs="Times New Roman" w:hAnsi="Times New Roman"/>
          <w:sz w:val="24"/>
          <w:szCs w:val="24"/>
        </w:rPr>
        <w:t xml:space="preserve"> accomplice, they will </w:t>
      </w:r>
      <w:r>
        <w:rPr>
          <w:rFonts w:ascii="Times New Roman" w:cs="Times New Roman" w:hAnsi="Times New Roman"/>
          <w:sz w:val="24"/>
          <w:szCs w:val="24"/>
        </w:rPr>
        <w:t>favour</w:t>
      </w:r>
      <w:r>
        <w:rPr>
          <w:rFonts w:ascii="Times New Roman" w:cs="Times New Roman" w:hAnsi="Times New Roman"/>
          <w:sz w:val="24"/>
          <w:szCs w:val="24"/>
        </w:rPr>
        <w:t xml:space="preserve"> full control </w:t>
      </w:r>
      <w:r>
        <w:rPr>
          <w:rFonts w:ascii="Times New Roman" w:cs="Times New Roman" w:hAnsi="Times New Roman"/>
          <w:sz w:val="24"/>
          <w:szCs w:val="24"/>
        </w:rPr>
        <w:t>entry mode</w:t>
      </w:r>
      <w:r>
        <w:rPr>
          <w:rFonts w:ascii="Times New Roman" w:cs="Times New Roman" w:hAnsi="Times New Roman"/>
          <w:sz w:val="24"/>
          <w:szCs w:val="24"/>
        </w:rPr>
        <w:t xml:space="preserve">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Conclusion</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principle target of the investigation was to look at the variables which impact the </w:t>
      </w:r>
      <w:r>
        <w:rPr>
          <w:rFonts w:ascii="Times New Roman" w:cs="Times New Roman" w:hAnsi="Times New Roman"/>
          <w:sz w:val="24"/>
          <w:szCs w:val="24"/>
        </w:rPr>
        <w:t>entry mode</w:t>
      </w:r>
      <w:r>
        <w:rPr>
          <w:rFonts w:ascii="Times New Roman" w:cs="Times New Roman" w:hAnsi="Times New Roman"/>
          <w:sz w:val="24"/>
          <w:szCs w:val="24"/>
        </w:rPr>
        <w:t xml:space="preserve"> determination of the </w:t>
      </w:r>
      <w:r>
        <w:rPr>
          <w:rFonts w:ascii="Times New Roman" w:cs="Times New Roman" w:hAnsi="Times New Roman"/>
          <w:sz w:val="24"/>
          <w:szCs w:val="24"/>
        </w:rPr>
        <w:t>non-profit</w:t>
      </w:r>
      <w:r>
        <w:rPr>
          <w:rFonts w:ascii="Times New Roman" w:cs="Times New Roman" w:hAnsi="Times New Roman"/>
          <w:sz w:val="24"/>
          <w:szCs w:val="24"/>
        </w:rPr>
        <w:t xml:space="preserve"> firms and create recommendations, with the goal that they can be tried experimentally by future examinations. The Study starts with </w:t>
      </w:r>
      <w:r>
        <w:rPr>
          <w:rFonts w:ascii="Times New Roman" w:cs="Times New Roman" w:hAnsi="Times New Roman"/>
          <w:sz w:val="24"/>
          <w:szCs w:val="24"/>
        </w:rPr>
        <w:t xml:space="preserve">argument </w:t>
      </w:r>
      <w:r>
        <w:rPr>
          <w:rFonts w:ascii="Times New Roman" w:cs="Times New Roman" w:hAnsi="Times New Roman"/>
          <w:sz w:val="24"/>
          <w:szCs w:val="24"/>
        </w:rPr>
        <w:t>that NPOs are not the same as for-</w:t>
      </w:r>
      <w:r>
        <w:rPr>
          <w:rFonts w:ascii="Times New Roman" w:cs="Times New Roman" w:hAnsi="Times New Roman"/>
          <w:sz w:val="24"/>
          <w:szCs w:val="24"/>
        </w:rPr>
        <w:t>profit</w:t>
      </w:r>
      <w:r>
        <w:rPr>
          <w:rFonts w:ascii="Times New Roman" w:cs="Times New Roman" w:hAnsi="Times New Roman"/>
          <w:sz w:val="24"/>
          <w:szCs w:val="24"/>
        </w:rPr>
        <w:t xml:space="preserve">s and it guarantees that it has an alternate internationalization process and faces an alternate arrangement of internationalization choices with regards to choosing </w:t>
      </w:r>
      <w:r>
        <w:rPr>
          <w:rFonts w:ascii="Times New Roman" w:cs="Times New Roman" w:hAnsi="Times New Roman"/>
          <w:sz w:val="24"/>
          <w:szCs w:val="24"/>
        </w:rPr>
        <w:t>entry mode</w:t>
      </w:r>
      <w:r>
        <w:rPr>
          <w:rFonts w:ascii="Times New Roman" w:cs="Times New Roman" w:hAnsi="Times New Roman"/>
          <w:sz w:val="24"/>
          <w:szCs w:val="24"/>
        </w:rPr>
        <w:t xml:space="preserve">s. This was accomplished through returning to and reconsideration of the writing identified with revenue driven </w:t>
      </w:r>
      <w:r>
        <w:rPr>
          <w:rFonts w:ascii="Times New Roman" w:cs="Times New Roman" w:hAnsi="Times New Roman"/>
          <w:sz w:val="24"/>
          <w:szCs w:val="24"/>
        </w:rPr>
        <w:t>entry mode</w:t>
      </w:r>
      <w:r>
        <w:rPr>
          <w:rFonts w:ascii="Times New Roman" w:cs="Times New Roman" w:hAnsi="Times New Roman"/>
          <w:sz w:val="24"/>
          <w:szCs w:val="24"/>
        </w:rPr>
        <w:t xml:space="preserve"> determination e</w:t>
      </w:r>
      <w:r>
        <w:rPr>
          <w:rFonts w:ascii="Times New Roman" w:cs="Times New Roman" w:hAnsi="Times New Roman"/>
          <w:sz w:val="24"/>
          <w:szCs w:val="24"/>
        </w:rPr>
        <w:t>ffort</w:t>
      </w:r>
      <w:r>
        <w:rPr>
          <w:rFonts w:ascii="Times New Roman" w:cs="Times New Roman" w:hAnsi="Times New Roman"/>
          <w:sz w:val="24"/>
          <w:szCs w:val="24"/>
        </w:rPr>
        <w:t xml:space="preserve">s. As talked about before, </w:t>
      </w:r>
      <w:r>
        <w:rPr>
          <w:rFonts w:ascii="Times New Roman" w:cs="Times New Roman" w:hAnsi="Times New Roman"/>
          <w:sz w:val="24"/>
          <w:szCs w:val="24"/>
        </w:rPr>
        <w:t>entry mode</w:t>
      </w:r>
      <w:r>
        <w:rPr>
          <w:rFonts w:ascii="Times New Roman" w:cs="Times New Roman" w:hAnsi="Times New Roman"/>
          <w:sz w:val="24"/>
          <w:szCs w:val="24"/>
        </w:rPr>
        <w:t xml:space="preserve"> choice is viewed as a standout amongst the most basic internationalization choices for a NPO to accomplish its destinations. Along these lines this examination will give a beginning stage, with the goal that NPOs can have a precise methodology for their entrance mode choice for more compelling activities. Here the investigation will </w:t>
      </w:r>
      <w:r>
        <w:rPr>
          <w:rFonts w:ascii="Times New Roman" w:cs="Times New Roman" w:hAnsi="Times New Roman"/>
          <w:sz w:val="24"/>
          <w:szCs w:val="24"/>
        </w:rPr>
        <w:t>seek</w:t>
      </w:r>
      <w:r>
        <w:rPr>
          <w:rFonts w:ascii="Times New Roman" w:cs="Times New Roman" w:hAnsi="Times New Roman"/>
          <w:sz w:val="24"/>
          <w:szCs w:val="24"/>
        </w:rPr>
        <w:t xml:space="preserve"> to connect a learning hole with regards to NPO internationalization by producing new information identifying with this territory.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To the extent the </w:t>
      </w:r>
      <w:r>
        <w:rPr>
          <w:rFonts w:ascii="Times New Roman" w:cs="Times New Roman" w:hAnsi="Times New Roman"/>
          <w:sz w:val="24"/>
          <w:szCs w:val="24"/>
        </w:rPr>
        <w:t>entry mode</w:t>
      </w:r>
      <w:r>
        <w:rPr>
          <w:rFonts w:ascii="Times New Roman" w:cs="Times New Roman" w:hAnsi="Times New Roman"/>
          <w:sz w:val="24"/>
          <w:szCs w:val="24"/>
        </w:rPr>
        <w:t xml:space="preserve"> decisions are concerned examination created four principle suggestions. Initial one recommends that independent of the </w:t>
      </w:r>
      <w:r>
        <w:rPr>
          <w:rFonts w:ascii="Times New Roman" w:cs="Times New Roman" w:hAnsi="Times New Roman"/>
          <w:sz w:val="24"/>
          <w:szCs w:val="24"/>
        </w:rPr>
        <w:t>size,</w:t>
      </w:r>
      <w:r>
        <w:rPr>
          <w:rFonts w:ascii="Times New Roman" w:cs="Times New Roman" w:hAnsi="Times New Roman"/>
          <w:sz w:val="24"/>
          <w:szCs w:val="24"/>
        </w:rPr>
        <w:t xml:space="preserve"> NPOs incline toward shared control modes as long as "characteristic accomplices" are accessible. Next the investigation suggests that accomplished firm will have the capacity to pick the correct accomplice subsequently experienced firms will </w:t>
      </w:r>
      <w:r>
        <w:rPr>
          <w:rFonts w:ascii="Times New Roman" w:cs="Times New Roman" w:hAnsi="Times New Roman"/>
          <w:sz w:val="24"/>
          <w:szCs w:val="24"/>
        </w:rPr>
        <w:t>favor</w:t>
      </w:r>
      <w:r>
        <w:rPr>
          <w:rFonts w:ascii="Times New Roman" w:cs="Times New Roman" w:hAnsi="Times New Roman"/>
          <w:sz w:val="24"/>
          <w:szCs w:val="24"/>
        </w:rPr>
        <w:t xml:space="preserve"> shared control modes. Third recommendation expressed that when normal accomplices are accessible internationalizing NPOs will attempt to moderate operational dangers through a common control mode. At long last the investigation takes a gander at the impact originating from host governments, and suggests that as long as NPOs can't locate a "characteristic accomplice" they will incline toward full control </w:t>
      </w:r>
      <w:r>
        <w:rPr>
          <w:rFonts w:ascii="Times New Roman" w:cs="Times New Roman" w:hAnsi="Times New Roman"/>
          <w:sz w:val="24"/>
          <w:szCs w:val="24"/>
        </w:rPr>
        <w:t>entry mode</w:t>
      </w:r>
      <w:r>
        <w:rPr>
          <w:rFonts w:ascii="Times New Roman" w:cs="Times New Roman" w:hAnsi="Times New Roman"/>
          <w:sz w:val="24"/>
          <w:szCs w:val="24"/>
        </w:rPr>
        <w:t xml:space="preserve">s since it gives more self-sufficiency to the NPO in its activities as opposed to having a wrong accomplice.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Researchers like</w:t>
      </w:r>
      <w:r>
        <w:rPr>
          <w:rFonts w:ascii="Times New Roman" w:cs="Times New Roman" w:hAnsi="Times New Roman"/>
          <w:sz w:val="24"/>
          <w:szCs w:val="24"/>
        </w:rPr>
        <w:t xml:space="preserve"> to feature the possibility to test these suggestions observationally, which can be utilized to build up a model to anticipate the </w:t>
      </w:r>
      <w:r>
        <w:rPr>
          <w:rFonts w:ascii="Times New Roman" w:cs="Times New Roman" w:hAnsi="Times New Roman"/>
          <w:sz w:val="24"/>
          <w:szCs w:val="24"/>
        </w:rPr>
        <w:t>entry mode</w:t>
      </w:r>
      <w:r>
        <w:rPr>
          <w:rFonts w:ascii="Times New Roman" w:cs="Times New Roman" w:hAnsi="Times New Roman"/>
          <w:sz w:val="24"/>
          <w:szCs w:val="24"/>
        </w:rPr>
        <w:t xml:space="preserve"> procedures of not-for-profit organizations. Utilizing exploratory research strategy, for example, a contextual analysis examination will assist the future specialists with identifying any exceptional variables concerning </w:t>
      </w:r>
      <w:r>
        <w:rPr>
          <w:rFonts w:ascii="Times New Roman" w:cs="Times New Roman" w:hAnsi="Times New Roman"/>
          <w:sz w:val="24"/>
          <w:szCs w:val="24"/>
        </w:rPr>
        <w:t>entry mode</w:t>
      </w:r>
      <w:r>
        <w:rPr>
          <w:rFonts w:ascii="Times New Roman" w:cs="Times New Roman" w:hAnsi="Times New Roman"/>
          <w:sz w:val="24"/>
          <w:szCs w:val="24"/>
        </w:rPr>
        <w:t xml:space="preserve"> decisions of NPOs. Specialist might likewise want to bring up the significance and in addition the chance to take a gander at other internationalization choices looked by </w:t>
      </w:r>
      <w:r>
        <w:rPr>
          <w:rFonts w:ascii="Times New Roman" w:cs="Times New Roman" w:hAnsi="Times New Roman"/>
          <w:sz w:val="24"/>
          <w:szCs w:val="24"/>
        </w:rPr>
        <w:t>non-profit</w:t>
      </w:r>
      <w:r>
        <w:rPr>
          <w:rFonts w:ascii="Times New Roman" w:cs="Times New Roman" w:hAnsi="Times New Roman"/>
          <w:sz w:val="24"/>
          <w:szCs w:val="24"/>
        </w:rPr>
        <w:t xml:space="preserve"> organizations, which was not talked about by the examination, for example, showcase determination, timing of section, tasks modes, and so on. There is likewise potential for correlation examines where both non-</w:t>
      </w:r>
      <w:r>
        <w:rPr>
          <w:rFonts w:ascii="Times New Roman" w:cs="Times New Roman" w:hAnsi="Times New Roman"/>
          <w:sz w:val="24"/>
          <w:szCs w:val="24"/>
        </w:rPr>
        <w:t>profit</w:t>
      </w:r>
      <w:r>
        <w:rPr>
          <w:rFonts w:ascii="Times New Roman" w:cs="Times New Roman" w:hAnsi="Times New Roman"/>
          <w:sz w:val="24"/>
          <w:szCs w:val="24"/>
        </w:rPr>
        <w:t xml:space="preserve"> and revenue driven organizations work. For a precedent microfinance industry would be a fascinating setting in such manner.</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b/>
          <w:sz w:val="24"/>
          <w:szCs w:val="24"/>
        </w:rPr>
        <w:t>References</w:t>
      </w:r>
    </w:p>
    <w:p>
      <w:pPr>
        <w:pStyle w:val="style0"/>
        <w:autoSpaceDE w:val="false"/>
        <w:autoSpaceDN w:val="false"/>
        <w:adjustRightInd w:val="false"/>
        <w:spacing w:after="0" w:lineRule="auto" w:line="480"/>
        <w:ind w:left="567" w:hanging="567"/>
        <w:rPr>
          <w:rFonts w:ascii="Times New Roman" w:cs="Times New Roman" w:hAnsi="Times New Roman"/>
          <w:sz w:val="24"/>
          <w:szCs w:val="24"/>
        </w:rPr>
      </w:pPr>
      <w:r>
        <w:rPr>
          <w:rFonts w:ascii="Times New Roman" w:cs="Times New Roman" w:hAnsi="Times New Roman"/>
          <w:sz w:val="24"/>
          <w:szCs w:val="24"/>
        </w:rPr>
        <w:t>Agarwal</w:t>
      </w:r>
      <w:r>
        <w:rPr>
          <w:rFonts w:ascii="Times New Roman" w:cs="Times New Roman" w:hAnsi="Times New Roman"/>
          <w:sz w:val="24"/>
          <w:szCs w:val="24"/>
        </w:rPr>
        <w:t xml:space="preserve">, S., &amp; </w:t>
      </w:r>
      <w:r>
        <w:rPr>
          <w:rFonts w:ascii="Times New Roman" w:cs="Times New Roman" w:hAnsi="Times New Roman"/>
          <w:sz w:val="24"/>
          <w:szCs w:val="24"/>
        </w:rPr>
        <w:t>Gort</w:t>
      </w:r>
      <w:r>
        <w:rPr>
          <w:rFonts w:ascii="Times New Roman" w:cs="Times New Roman" w:hAnsi="Times New Roman"/>
          <w:sz w:val="24"/>
          <w:szCs w:val="24"/>
        </w:rPr>
        <w:t>, M. (1996).</w:t>
      </w:r>
      <w:r>
        <w:rPr>
          <w:rFonts w:ascii="Times New Roman" w:cs="Times New Roman" w:hAnsi="Times New Roman"/>
          <w:sz w:val="24"/>
          <w:szCs w:val="24"/>
        </w:rPr>
        <w:t xml:space="preserve"> </w:t>
      </w:r>
      <w:r>
        <w:rPr>
          <w:rFonts w:ascii="Times New Roman" w:cs="Times New Roman" w:hAnsi="Times New Roman"/>
          <w:sz w:val="24"/>
          <w:szCs w:val="24"/>
        </w:rPr>
        <w:t>The evolution of markets and entry, exit and survival of firms.</w:t>
      </w:r>
      <w:r>
        <w:rPr>
          <w:rFonts w:ascii="Times New Roman" w:cs="Times New Roman" w:hAnsi="Times New Roman"/>
          <w:sz w:val="24"/>
          <w:szCs w:val="24"/>
        </w:rPr>
        <w:t xml:space="preserve"> </w:t>
      </w:r>
      <w:r>
        <w:rPr>
          <w:rFonts w:ascii="Times New Roman" w:cs="Times New Roman" w:hAnsi="Times New Roman"/>
          <w:i/>
          <w:iCs/>
          <w:sz w:val="24"/>
          <w:szCs w:val="24"/>
        </w:rPr>
        <w:t>The review of Economics and Statistics</w:t>
      </w:r>
      <w:r>
        <w:rPr>
          <w:rFonts w:ascii="Times New Roman" w:cs="Times New Roman" w:hAnsi="Times New Roman"/>
          <w:sz w:val="24"/>
          <w:szCs w:val="24"/>
        </w:rPr>
        <w:t>, 489-498.</w:t>
      </w:r>
    </w:p>
    <w:p>
      <w:pPr>
        <w:pStyle w:val="style0"/>
        <w:autoSpaceDE w:val="false"/>
        <w:autoSpaceDN w:val="false"/>
        <w:adjustRightInd w:val="false"/>
        <w:spacing w:after="0" w:lineRule="auto" w:line="480"/>
        <w:ind w:left="567" w:hanging="567"/>
        <w:rPr>
          <w:rFonts w:ascii="Times New Roman" w:cs="Times New Roman" w:hAnsi="Times New Roman"/>
          <w:sz w:val="24"/>
          <w:szCs w:val="24"/>
        </w:rPr>
      </w:pPr>
      <w:r>
        <w:rPr>
          <w:rFonts w:ascii="Times New Roman" w:cs="Times New Roman" w:hAnsi="Times New Roman"/>
          <w:sz w:val="24"/>
          <w:szCs w:val="24"/>
        </w:rPr>
        <w:t xml:space="preserve">Andersen, O. (1997). Internationalization and Market Entry Mode: A Review of Theories and Conceptual Frameworks. </w:t>
      </w:r>
      <w:r>
        <w:rPr>
          <w:rFonts w:ascii="Times New Roman" w:cs="Times New Roman" w:hAnsi="Times New Roman"/>
          <w:i/>
          <w:iCs/>
          <w:sz w:val="24"/>
          <w:szCs w:val="24"/>
        </w:rPr>
        <w:t>MIR: Management International Review, 37</w:t>
      </w:r>
      <w:r>
        <w:rPr>
          <w:rFonts w:ascii="Times New Roman" w:cs="Times New Roman" w:hAnsi="Times New Roman"/>
          <w:sz w:val="24"/>
          <w:szCs w:val="24"/>
        </w:rPr>
        <w:t xml:space="preserve">, 27-42. </w:t>
      </w:r>
      <w:r>
        <w:rPr>
          <w:rFonts w:ascii="Times New Roman" w:cs="Times New Roman" w:hAnsi="Times New Roman"/>
          <w:sz w:val="24"/>
          <w:szCs w:val="24"/>
        </w:rPr>
        <w:t>doi</w:t>
      </w:r>
      <w:r>
        <w:rPr>
          <w:rFonts w:ascii="Times New Roman" w:cs="Times New Roman" w:hAnsi="Times New Roman"/>
          <w:sz w:val="24"/>
          <w:szCs w:val="24"/>
        </w:rPr>
        <w:t>: 10.2307/40228431</w:t>
      </w:r>
    </w:p>
    <w:p>
      <w:pPr>
        <w:pStyle w:val="style0"/>
        <w:autoSpaceDE w:val="false"/>
        <w:autoSpaceDN w:val="false"/>
        <w:adjustRightInd w:val="false"/>
        <w:spacing w:after="0" w:lineRule="auto" w:line="480"/>
        <w:ind w:left="567" w:hanging="567"/>
        <w:rPr>
          <w:rFonts w:ascii="Times New Roman" w:cs="Times New Roman" w:hAnsi="Times New Roman"/>
          <w:sz w:val="24"/>
          <w:szCs w:val="24"/>
        </w:rPr>
      </w:pPr>
      <w:r>
        <w:rPr>
          <w:rFonts w:ascii="Times New Roman" w:cs="Times New Roman" w:hAnsi="Times New Roman"/>
          <w:sz w:val="24"/>
          <w:szCs w:val="24"/>
        </w:rPr>
        <w:t xml:space="preserve">Anderson, E., &amp; </w:t>
      </w:r>
      <w:r>
        <w:rPr>
          <w:rFonts w:ascii="Times New Roman" w:cs="Times New Roman" w:hAnsi="Times New Roman"/>
          <w:sz w:val="24"/>
          <w:szCs w:val="24"/>
        </w:rPr>
        <w:t>Gatignon</w:t>
      </w:r>
      <w:r>
        <w:rPr>
          <w:rFonts w:ascii="Times New Roman" w:cs="Times New Roman" w:hAnsi="Times New Roman"/>
          <w:sz w:val="24"/>
          <w:szCs w:val="24"/>
        </w:rPr>
        <w:t xml:space="preserve">, H. (1986a). Modes of Foreign Entry: A Transaction Cost Analysis and Propositions. </w:t>
      </w:r>
      <w:r>
        <w:rPr>
          <w:rFonts w:ascii="Times New Roman" w:cs="Times New Roman" w:hAnsi="Times New Roman"/>
          <w:i/>
          <w:iCs/>
          <w:sz w:val="24"/>
          <w:szCs w:val="24"/>
        </w:rPr>
        <w:t>International Business Studies, 11</w:t>
      </w:r>
      <w:r>
        <w:rPr>
          <w:rFonts w:ascii="Times New Roman" w:cs="Times New Roman" w:hAnsi="Times New Roman"/>
          <w:sz w:val="24"/>
          <w:szCs w:val="24"/>
        </w:rPr>
        <w:t>, 1-26.</w:t>
      </w:r>
    </w:p>
    <w:p>
      <w:pPr>
        <w:pStyle w:val="style0"/>
        <w:autoSpaceDE w:val="false"/>
        <w:autoSpaceDN w:val="false"/>
        <w:adjustRightInd w:val="false"/>
        <w:spacing w:after="0" w:lineRule="auto" w:line="480"/>
        <w:ind w:left="567" w:hanging="567"/>
        <w:rPr>
          <w:rFonts w:ascii="Times New Roman" w:cs="Times New Roman" w:hAnsi="Times New Roman"/>
          <w:sz w:val="24"/>
          <w:szCs w:val="24"/>
        </w:rPr>
      </w:pPr>
      <w:r>
        <w:rPr>
          <w:rFonts w:ascii="Times New Roman" w:cs="Times New Roman" w:hAnsi="Times New Roman"/>
          <w:sz w:val="24"/>
          <w:szCs w:val="24"/>
        </w:rPr>
        <w:t xml:space="preserve">Anderson, E., &amp; </w:t>
      </w:r>
      <w:r>
        <w:rPr>
          <w:rFonts w:ascii="Times New Roman" w:cs="Times New Roman" w:hAnsi="Times New Roman"/>
          <w:sz w:val="24"/>
          <w:szCs w:val="24"/>
        </w:rPr>
        <w:t>Gatignon</w:t>
      </w:r>
      <w:r>
        <w:rPr>
          <w:rFonts w:ascii="Times New Roman" w:cs="Times New Roman" w:hAnsi="Times New Roman"/>
          <w:sz w:val="24"/>
          <w:szCs w:val="24"/>
        </w:rPr>
        <w:t xml:space="preserve">, H. (1986b). Modes of foreign entry: A transaction cost analysis and propositions. </w:t>
      </w:r>
      <w:r>
        <w:rPr>
          <w:rFonts w:ascii="Times New Roman" w:cs="Times New Roman" w:hAnsi="Times New Roman"/>
          <w:i/>
          <w:iCs/>
          <w:sz w:val="24"/>
          <w:szCs w:val="24"/>
        </w:rPr>
        <w:t>Journal of international business studies, 17</w:t>
      </w:r>
      <w:r>
        <w:rPr>
          <w:rFonts w:ascii="Times New Roman" w:cs="Times New Roman" w:hAnsi="Times New Roman"/>
          <w:sz w:val="24"/>
          <w:szCs w:val="24"/>
        </w:rPr>
        <w:t>(3), 1-26.</w:t>
      </w:r>
    </w:p>
    <w:p>
      <w:pPr>
        <w:pStyle w:val="style0"/>
        <w:autoSpaceDE w:val="false"/>
        <w:autoSpaceDN w:val="false"/>
        <w:adjustRightInd w:val="false"/>
        <w:spacing w:after="0" w:lineRule="auto" w:line="480"/>
        <w:ind w:left="567" w:hanging="567"/>
        <w:rPr>
          <w:rFonts w:ascii="Times New Roman" w:cs="Times New Roman" w:hAnsi="Times New Roman"/>
          <w:sz w:val="24"/>
          <w:szCs w:val="24"/>
        </w:rPr>
      </w:pPr>
      <w:r>
        <w:rPr>
          <w:rFonts w:ascii="Times New Roman" w:cs="Times New Roman" w:hAnsi="Times New Roman"/>
          <w:sz w:val="24"/>
          <w:szCs w:val="24"/>
        </w:rPr>
        <w:t>Calof</w:t>
      </w:r>
      <w:r>
        <w:rPr>
          <w:rFonts w:ascii="Times New Roman" w:cs="Times New Roman" w:hAnsi="Times New Roman"/>
          <w:sz w:val="24"/>
          <w:szCs w:val="24"/>
        </w:rPr>
        <w:t>, J. L., &amp; Beamish, P. W. (1995).</w:t>
      </w:r>
      <w:r>
        <w:rPr>
          <w:rFonts w:ascii="Times New Roman" w:cs="Times New Roman" w:hAnsi="Times New Roman"/>
          <w:sz w:val="24"/>
          <w:szCs w:val="24"/>
        </w:rPr>
        <w:t xml:space="preserve"> </w:t>
      </w:r>
      <w:r>
        <w:rPr>
          <w:rFonts w:ascii="Times New Roman" w:cs="Times New Roman" w:hAnsi="Times New Roman"/>
          <w:sz w:val="24"/>
          <w:szCs w:val="24"/>
        </w:rPr>
        <w:t>Adapting to foreign markets: Explaining internationalization.</w:t>
      </w:r>
      <w:r>
        <w:rPr>
          <w:rFonts w:ascii="Times New Roman" w:cs="Times New Roman" w:hAnsi="Times New Roman"/>
          <w:sz w:val="24"/>
          <w:szCs w:val="24"/>
        </w:rPr>
        <w:t xml:space="preserve"> </w:t>
      </w:r>
      <w:r>
        <w:rPr>
          <w:rFonts w:ascii="Times New Roman" w:cs="Times New Roman" w:hAnsi="Times New Roman"/>
          <w:i/>
          <w:iCs/>
          <w:sz w:val="24"/>
          <w:szCs w:val="24"/>
        </w:rPr>
        <w:t>International Business Review, 4</w:t>
      </w:r>
      <w:r>
        <w:rPr>
          <w:rFonts w:ascii="Times New Roman" w:cs="Times New Roman" w:hAnsi="Times New Roman"/>
          <w:sz w:val="24"/>
          <w:szCs w:val="24"/>
        </w:rPr>
        <w:t xml:space="preserve">(2), 115-131. </w:t>
      </w:r>
      <w:r>
        <w:rPr>
          <w:rFonts w:ascii="Times New Roman" w:cs="Times New Roman" w:hAnsi="Times New Roman"/>
          <w:sz w:val="24"/>
          <w:szCs w:val="24"/>
        </w:rPr>
        <w:t>doi</w:t>
      </w:r>
      <w:r>
        <w:rPr>
          <w:rFonts w:ascii="Times New Roman" w:cs="Times New Roman" w:hAnsi="Times New Roman"/>
          <w:sz w:val="24"/>
          <w:szCs w:val="24"/>
        </w:rPr>
        <w:t>: 10.1016/0969-5931(95)00001-G</w:t>
      </w:r>
    </w:p>
    <w:p>
      <w:pPr>
        <w:pStyle w:val="style0"/>
        <w:autoSpaceDE w:val="false"/>
        <w:autoSpaceDN w:val="false"/>
        <w:adjustRightInd w:val="false"/>
        <w:spacing w:after="0" w:lineRule="auto" w:line="480"/>
        <w:ind w:left="567" w:hanging="567"/>
        <w:rPr>
          <w:rFonts w:ascii="Times New Roman" w:cs="Times New Roman" w:hAnsi="Times New Roman"/>
          <w:sz w:val="24"/>
          <w:szCs w:val="24"/>
        </w:rPr>
      </w:pPr>
      <w:r>
        <w:rPr>
          <w:rFonts w:ascii="Times New Roman" w:cs="Times New Roman" w:hAnsi="Times New Roman"/>
          <w:sz w:val="24"/>
          <w:szCs w:val="24"/>
        </w:rPr>
        <w:t>Drucker</w:t>
      </w:r>
      <w:r>
        <w:rPr>
          <w:rFonts w:ascii="Times New Roman" w:cs="Times New Roman" w:hAnsi="Times New Roman"/>
          <w:sz w:val="24"/>
          <w:szCs w:val="24"/>
        </w:rPr>
        <w:t xml:space="preserve">, P. F. (1989). What business can learn from </w:t>
      </w:r>
      <w:r>
        <w:rPr>
          <w:rFonts w:ascii="Times New Roman" w:cs="Times New Roman" w:hAnsi="Times New Roman"/>
          <w:sz w:val="24"/>
          <w:szCs w:val="24"/>
        </w:rPr>
        <w:t>nonprofits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i/>
          <w:iCs/>
          <w:sz w:val="24"/>
          <w:szCs w:val="24"/>
        </w:rPr>
        <w:t>Harvard Business Review, 67</w:t>
      </w:r>
      <w:r>
        <w:rPr>
          <w:rFonts w:ascii="Times New Roman" w:cs="Times New Roman" w:hAnsi="Times New Roman"/>
          <w:sz w:val="24"/>
          <w:szCs w:val="24"/>
        </w:rPr>
        <w:t>(4), 88-93.</w:t>
      </w:r>
    </w:p>
    <w:p>
      <w:pPr>
        <w:pStyle w:val="style0"/>
        <w:autoSpaceDE w:val="false"/>
        <w:autoSpaceDN w:val="false"/>
        <w:adjustRightInd w:val="false"/>
        <w:spacing w:after="0" w:lineRule="auto" w:line="480"/>
        <w:ind w:left="567" w:hanging="567"/>
        <w:rPr>
          <w:rFonts w:ascii="Times New Roman" w:cs="Times New Roman" w:hAnsi="Times New Roman"/>
          <w:sz w:val="24"/>
          <w:szCs w:val="24"/>
        </w:rPr>
      </w:pPr>
      <w:r>
        <w:rPr>
          <w:rFonts w:ascii="Times New Roman" w:cs="Times New Roman" w:hAnsi="Times New Roman"/>
          <w:sz w:val="24"/>
          <w:szCs w:val="24"/>
        </w:rPr>
        <w:t>Dunning, J. H. (1980).</w:t>
      </w:r>
      <w:r>
        <w:rPr>
          <w:rFonts w:ascii="Times New Roman" w:cs="Times New Roman" w:hAnsi="Times New Roman"/>
          <w:sz w:val="24"/>
          <w:szCs w:val="24"/>
        </w:rPr>
        <w:t xml:space="preserve"> Toward an eclectic theory of international production: some empirical tests. </w:t>
      </w:r>
      <w:r>
        <w:rPr>
          <w:rFonts w:ascii="Times New Roman" w:cs="Times New Roman" w:hAnsi="Times New Roman"/>
          <w:i/>
          <w:iCs/>
          <w:sz w:val="24"/>
          <w:szCs w:val="24"/>
        </w:rPr>
        <w:t>Journal of international business studies, 11</w:t>
      </w:r>
      <w:r>
        <w:rPr>
          <w:rFonts w:ascii="Times New Roman" w:cs="Times New Roman" w:hAnsi="Times New Roman"/>
          <w:sz w:val="24"/>
          <w:szCs w:val="24"/>
        </w:rPr>
        <w:t>(1), 9-31.</w:t>
      </w:r>
    </w:p>
    <w:p>
      <w:pPr>
        <w:pStyle w:val="style0"/>
        <w:autoSpaceDE w:val="false"/>
        <w:autoSpaceDN w:val="false"/>
        <w:adjustRightInd w:val="false"/>
        <w:spacing w:after="0" w:lineRule="auto" w:line="480"/>
        <w:ind w:left="567" w:hanging="567"/>
        <w:rPr>
          <w:rFonts w:ascii="Times New Roman" w:cs="Times New Roman" w:hAnsi="Times New Roman"/>
          <w:sz w:val="24"/>
          <w:szCs w:val="24"/>
        </w:rPr>
      </w:pPr>
      <w:r>
        <w:rPr>
          <w:rFonts w:ascii="Times New Roman" w:cs="Times New Roman" w:hAnsi="Times New Roman"/>
          <w:sz w:val="24"/>
          <w:szCs w:val="24"/>
        </w:rPr>
        <w:t>Ekeledo</w:t>
      </w:r>
      <w:r>
        <w:rPr>
          <w:rFonts w:ascii="Times New Roman" w:cs="Times New Roman" w:hAnsi="Times New Roman"/>
          <w:sz w:val="24"/>
          <w:szCs w:val="24"/>
        </w:rPr>
        <w:t xml:space="preserve">, I., &amp; </w:t>
      </w:r>
      <w:r>
        <w:rPr>
          <w:rFonts w:ascii="Times New Roman" w:cs="Times New Roman" w:hAnsi="Times New Roman"/>
          <w:sz w:val="24"/>
          <w:szCs w:val="24"/>
        </w:rPr>
        <w:t>Sivakumar</w:t>
      </w:r>
      <w:r>
        <w:rPr>
          <w:rFonts w:ascii="Times New Roman" w:cs="Times New Roman" w:hAnsi="Times New Roman"/>
          <w:sz w:val="24"/>
          <w:szCs w:val="24"/>
        </w:rPr>
        <w:t>, K. (2004).</w:t>
      </w:r>
      <w:r>
        <w:rPr>
          <w:rFonts w:ascii="Times New Roman" w:cs="Times New Roman" w:hAnsi="Times New Roman"/>
          <w:sz w:val="24"/>
          <w:szCs w:val="24"/>
        </w:rPr>
        <w:t xml:space="preserve"> International market entry mode strategies of manufacturing firms and service firms: A resource-based perspective. </w:t>
      </w:r>
      <w:r>
        <w:rPr>
          <w:rFonts w:ascii="Times New Roman" w:cs="Times New Roman" w:hAnsi="Times New Roman"/>
          <w:i/>
          <w:iCs/>
          <w:sz w:val="24"/>
          <w:szCs w:val="24"/>
        </w:rPr>
        <w:t>International marketing review, 21</w:t>
      </w:r>
      <w:r>
        <w:rPr>
          <w:rFonts w:ascii="Times New Roman" w:cs="Times New Roman" w:hAnsi="Times New Roman"/>
          <w:sz w:val="24"/>
          <w:szCs w:val="24"/>
        </w:rPr>
        <w:t>(1), 68-101.</w:t>
      </w:r>
    </w:p>
    <w:p>
      <w:pPr>
        <w:pStyle w:val="style0"/>
        <w:autoSpaceDE w:val="false"/>
        <w:autoSpaceDN w:val="false"/>
        <w:adjustRightInd w:val="false"/>
        <w:spacing w:after="0" w:lineRule="auto" w:line="480"/>
        <w:ind w:left="567" w:hanging="567"/>
        <w:rPr>
          <w:rFonts w:ascii="Times New Roman" w:cs="Times New Roman" w:hAnsi="Times New Roman"/>
          <w:sz w:val="24"/>
          <w:szCs w:val="24"/>
        </w:rPr>
      </w:pPr>
      <w:r>
        <w:rPr>
          <w:rFonts w:ascii="Times New Roman" w:cs="Times New Roman" w:hAnsi="Times New Roman"/>
          <w:sz w:val="24"/>
          <w:szCs w:val="24"/>
        </w:rPr>
        <w:t>Erramilli</w:t>
      </w:r>
      <w:r>
        <w:rPr>
          <w:rFonts w:ascii="Times New Roman" w:cs="Times New Roman" w:hAnsi="Times New Roman"/>
          <w:sz w:val="24"/>
          <w:szCs w:val="24"/>
        </w:rPr>
        <w:t xml:space="preserve">, M. K. (1991). </w:t>
      </w:r>
      <w:r>
        <w:rPr>
          <w:rFonts w:ascii="Times New Roman" w:cs="Times New Roman" w:hAnsi="Times New Roman"/>
          <w:sz w:val="24"/>
          <w:szCs w:val="24"/>
        </w:rPr>
        <w:t xml:space="preserve">The experience factor in foreign market entry </w:t>
      </w:r>
      <w:r>
        <w:rPr>
          <w:rFonts w:ascii="Times New Roman" w:cs="Times New Roman" w:hAnsi="Times New Roman"/>
          <w:sz w:val="24"/>
          <w:szCs w:val="24"/>
        </w:rPr>
        <w:t>behavior</w:t>
      </w:r>
      <w:r>
        <w:rPr>
          <w:rFonts w:ascii="Times New Roman" w:cs="Times New Roman" w:hAnsi="Times New Roman"/>
          <w:sz w:val="24"/>
          <w:szCs w:val="24"/>
        </w:rPr>
        <w:t xml:space="preserve"> of service firms.</w:t>
      </w:r>
      <w:r>
        <w:rPr>
          <w:rFonts w:ascii="Times New Roman" w:cs="Times New Roman" w:hAnsi="Times New Roman"/>
          <w:sz w:val="24"/>
          <w:szCs w:val="24"/>
        </w:rPr>
        <w:t xml:space="preserve"> </w:t>
      </w:r>
      <w:r>
        <w:rPr>
          <w:rFonts w:ascii="Times New Roman" w:cs="Times New Roman" w:hAnsi="Times New Roman"/>
          <w:i/>
          <w:iCs/>
          <w:sz w:val="24"/>
          <w:szCs w:val="24"/>
        </w:rPr>
        <w:t>Journal of international business studies</w:t>
      </w:r>
      <w:r>
        <w:rPr>
          <w:rFonts w:ascii="Times New Roman" w:cs="Times New Roman" w:hAnsi="Times New Roman"/>
          <w:sz w:val="24"/>
          <w:szCs w:val="24"/>
        </w:rPr>
        <w:t>, 479-501</w:t>
      </w:r>
    </w:p>
    <w:p>
      <w:pPr>
        <w:pStyle w:val="style0"/>
        <w:autoSpaceDE w:val="false"/>
        <w:autoSpaceDN w:val="false"/>
        <w:adjustRightInd w:val="false"/>
        <w:spacing w:after="0" w:lineRule="auto" w:line="480"/>
        <w:ind w:left="567" w:hanging="567"/>
        <w:rPr>
          <w:rFonts w:ascii="Times New Roman" w:cs="Times New Roman" w:hAnsi="Times New Roman"/>
          <w:sz w:val="24"/>
          <w:szCs w:val="24"/>
        </w:rPr>
      </w:pPr>
      <w:r>
        <w:rPr>
          <w:rFonts w:ascii="Times New Roman" w:cs="Times New Roman" w:hAnsi="Times New Roman"/>
          <w:sz w:val="24"/>
          <w:szCs w:val="24"/>
        </w:rPr>
        <w:t>Esping</w:t>
      </w:r>
      <w:r>
        <w:rPr>
          <w:rFonts w:ascii="Times New Roman" w:cs="Times New Roman" w:hAnsi="Times New Roman"/>
          <w:sz w:val="24"/>
          <w:szCs w:val="24"/>
        </w:rPr>
        <w:t xml:space="preserve">-Andersen, G. (1990). </w:t>
      </w:r>
      <w:r>
        <w:rPr>
          <w:rFonts w:ascii="Times New Roman" w:cs="Times New Roman" w:hAnsi="Times New Roman"/>
          <w:i/>
          <w:iCs/>
          <w:sz w:val="24"/>
          <w:szCs w:val="24"/>
        </w:rPr>
        <w:t xml:space="preserve">The three worlds of welfare capitalism </w:t>
      </w:r>
      <w:r>
        <w:rPr>
          <w:rFonts w:ascii="Times New Roman" w:cs="Times New Roman" w:hAnsi="Times New Roman"/>
          <w:sz w:val="24"/>
          <w:szCs w:val="24"/>
        </w:rPr>
        <w:t>(Vol. 6): Polity press Cambridge.</w:t>
      </w:r>
    </w:p>
    <w:p>
      <w:pPr>
        <w:pStyle w:val="style0"/>
        <w:autoSpaceDE w:val="false"/>
        <w:autoSpaceDN w:val="false"/>
        <w:adjustRightInd w:val="false"/>
        <w:spacing w:after="0" w:lineRule="auto" w:line="480"/>
        <w:ind w:left="567" w:hanging="567"/>
        <w:rPr>
          <w:rFonts w:ascii="Times New Roman" w:cs="Times New Roman" w:hAnsi="Times New Roman"/>
          <w:sz w:val="24"/>
          <w:szCs w:val="24"/>
        </w:rPr>
      </w:pPr>
      <w:r>
        <w:rPr>
          <w:rFonts w:ascii="Times New Roman" w:cs="Times New Roman" w:hAnsi="Times New Roman"/>
          <w:sz w:val="24"/>
          <w:szCs w:val="24"/>
        </w:rPr>
        <w:t>Hansmann</w:t>
      </w:r>
      <w:r>
        <w:rPr>
          <w:rFonts w:ascii="Times New Roman" w:cs="Times New Roman" w:hAnsi="Times New Roman"/>
          <w:sz w:val="24"/>
          <w:szCs w:val="24"/>
        </w:rPr>
        <w:t xml:space="preserve">, H. (1980). </w:t>
      </w:r>
      <w:r>
        <w:rPr>
          <w:rFonts w:ascii="Times New Roman" w:cs="Times New Roman" w:hAnsi="Times New Roman"/>
          <w:sz w:val="24"/>
          <w:szCs w:val="24"/>
        </w:rPr>
        <w:t xml:space="preserve">The role of </w:t>
      </w:r>
      <w:r>
        <w:rPr>
          <w:rFonts w:ascii="Times New Roman" w:cs="Times New Roman" w:hAnsi="Times New Roman"/>
          <w:sz w:val="24"/>
          <w:szCs w:val="24"/>
        </w:rPr>
        <w:t>nonprofit</w:t>
      </w:r>
      <w:r>
        <w:rPr>
          <w:rFonts w:ascii="Times New Roman" w:cs="Times New Roman" w:hAnsi="Times New Roman"/>
          <w:sz w:val="24"/>
          <w:szCs w:val="24"/>
        </w:rPr>
        <w:t xml:space="preserve"> enterprise.</w:t>
      </w:r>
      <w:r>
        <w:rPr>
          <w:rFonts w:ascii="Times New Roman" w:cs="Times New Roman" w:hAnsi="Times New Roman"/>
          <w:sz w:val="24"/>
          <w:szCs w:val="24"/>
        </w:rPr>
        <w:t xml:space="preserve"> </w:t>
      </w:r>
      <w:r>
        <w:rPr>
          <w:rFonts w:ascii="Times New Roman" w:cs="Times New Roman" w:hAnsi="Times New Roman"/>
          <w:i/>
          <w:iCs/>
          <w:sz w:val="24"/>
          <w:szCs w:val="24"/>
        </w:rPr>
        <w:t>The Yale Law Journal, 89</w:t>
      </w:r>
      <w:r>
        <w:rPr>
          <w:rFonts w:ascii="Times New Roman" w:cs="Times New Roman" w:hAnsi="Times New Roman"/>
          <w:sz w:val="24"/>
          <w:szCs w:val="24"/>
        </w:rPr>
        <w:t>(5), 835-901.</w:t>
      </w:r>
    </w:p>
    <w:p>
      <w:pPr>
        <w:pStyle w:val="style0"/>
        <w:spacing w:before="240" w:lineRule="auto" w:line="480"/>
        <w:ind w:left="567" w:hanging="567"/>
        <w:rPr>
          <w:rFonts w:ascii="Times New Roman" w:cs="Times New Roman" w:hAnsi="Times New Roman"/>
          <w:sz w:val="24"/>
          <w:szCs w:val="24"/>
        </w:rPr>
      </w:pPr>
      <w:r>
        <w:rPr>
          <w:rFonts w:ascii="Times New Roman" w:cs="Times New Roman" w:hAnsi="Times New Roman"/>
          <w:sz w:val="24"/>
          <w:szCs w:val="24"/>
        </w:rPr>
        <w:t>Heifer.</w:t>
      </w:r>
      <w:r>
        <w:rPr>
          <w:rFonts w:ascii="Times New Roman" w:cs="Times New Roman" w:hAnsi="Times New Roman"/>
          <w:sz w:val="24"/>
          <w:szCs w:val="24"/>
        </w:rPr>
        <w:t xml:space="preserve"> </w:t>
      </w:r>
      <w:r>
        <w:rPr>
          <w:rFonts w:ascii="Times New Roman" w:cs="Times New Roman" w:hAnsi="Times New Roman"/>
          <w:sz w:val="24"/>
          <w:szCs w:val="24"/>
        </w:rPr>
        <w:t>(2018). Our Approach.</w:t>
      </w:r>
      <w:r>
        <w:rPr>
          <w:rFonts w:ascii="Times New Roman" w:cs="Times New Roman" w:hAnsi="Times New Roman"/>
          <w:sz w:val="24"/>
          <w:szCs w:val="24"/>
        </w:rPr>
        <w:t xml:space="preserve"> </w:t>
      </w:r>
      <w:r>
        <w:rPr>
          <w:rFonts w:ascii="Times New Roman" w:cs="Times New Roman" w:hAnsi="Times New Roman"/>
          <w:sz w:val="24"/>
          <w:szCs w:val="24"/>
        </w:rPr>
        <w:t>Heifer International.</w:t>
      </w:r>
      <w:r>
        <w:rPr>
          <w:rFonts w:ascii="Times New Roman" w:cs="Times New Roman" w:hAnsi="Times New Roman"/>
          <w:sz w:val="24"/>
          <w:szCs w:val="24"/>
        </w:rPr>
        <w:t xml:space="preserve"> Retrieved from: </w:t>
      </w:r>
      <w:bookmarkStart w:id="0" w:name="_GoBack"/>
      <w:bookmarkEnd w:id="0"/>
      <w:r>
        <w:rPr>
          <w:rFonts w:ascii="Times New Roman" w:cs="Times New Roman" w:hAnsi="Times New Roman"/>
          <w:sz w:val="24"/>
          <w:szCs w:val="24"/>
        </w:rPr>
        <w:t>https://www.heifer.org/ending-hunger/our-approach/index.html</w:t>
      </w:r>
    </w:p>
    <w:p>
      <w:pPr>
        <w:pStyle w:val="style0"/>
        <w:autoSpaceDE w:val="false"/>
        <w:autoSpaceDN w:val="false"/>
        <w:adjustRightInd w:val="false"/>
        <w:spacing w:after="0" w:lineRule="auto" w:line="480"/>
        <w:ind w:left="567" w:hanging="567"/>
        <w:rPr>
          <w:rFonts w:ascii="Times New Roman" w:cs="Times New Roman" w:hAnsi="Times New Roman"/>
          <w:sz w:val="24"/>
          <w:szCs w:val="24"/>
        </w:rPr>
      </w:pPr>
      <w:r>
        <w:rPr>
          <w:rFonts w:ascii="Times New Roman" w:cs="Times New Roman" w:hAnsi="Times New Roman"/>
          <w:sz w:val="24"/>
          <w:szCs w:val="24"/>
        </w:rPr>
        <w:t>Hill, C. W., Hwang, P., &amp; Kim, W. C. (1990).</w:t>
      </w:r>
      <w:r>
        <w:rPr>
          <w:rFonts w:ascii="Times New Roman" w:cs="Times New Roman" w:hAnsi="Times New Roman"/>
          <w:sz w:val="24"/>
          <w:szCs w:val="24"/>
        </w:rPr>
        <w:t xml:space="preserve"> </w:t>
      </w:r>
      <w:r>
        <w:rPr>
          <w:rFonts w:ascii="Times New Roman" w:cs="Times New Roman" w:hAnsi="Times New Roman"/>
          <w:sz w:val="24"/>
          <w:szCs w:val="24"/>
        </w:rPr>
        <w:t>An eclectic theory of the choice of international entry mode.</w:t>
      </w:r>
      <w:r>
        <w:rPr>
          <w:rFonts w:ascii="Times New Roman" w:cs="Times New Roman" w:hAnsi="Times New Roman"/>
          <w:sz w:val="24"/>
          <w:szCs w:val="24"/>
        </w:rPr>
        <w:t xml:space="preserve"> </w:t>
      </w:r>
      <w:r>
        <w:rPr>
          <w:rFonts w:ascii="Times New Roman" w:cs="Times New Roman" w:hAnsi="Times New Roman"/>
          <w:i/>
          <w:iCs/>
          <w:sz w:val="24"/>
          <w:szCs w:val="24"/>
        </w:rPr>
        <w:t>Strategic management journal, 11</w:t>
      </w:r>
      <w:r>
        <w:rPr>
          <w:rFonts w:ascii="Times New Roman" w:cs="Times New Roman" w:hAnsi="Times New Roman"/>
          <w:sz w:val="24"/>
          <w:szCs w:val="24"/>
        </w:rPr>
        <w:t>(2), 117-128.</w:t>
      </w:r>
    </w:p>
    <w:p>
      <w:pPr>
        <w:pStyle w:val="style0"/>
        <w:autoSpaceDE w:val="false"/>
        <w:autoSpaceDN w:val="false"/>
        <w:adjustRightInd w:val="false"/>
        <w:spacing w:after="0" w:lineRule="auto" w:line="480"/>
        <w:ind w:left="567" w:hanging="567"/>
        <w:rPr>
          <w:rFonts w:ascii="Times New Roman" w:cs="Times New Roman" w:hAnsi="Times New Roman"/>
          <w:sz w:val="24"/>
          <w:szCs w:val="24"/>
        </w:rPr>
      </w:pPr>
      <w:r>
        <w:rPr>
          <w:rFonts w:ascii="Times New Roman" w:cs="Times New Roman" w:hAnsi="Times New Roman"/>
          <w:sz w:val="24"/>
          <w:szCs w:val="24"/>
        </w:rPr>
        <w:t xml:space="preserve">Reid, E. (2006). The International Charitable </w:t>
      </w:r>
      <w:r>
        <w:rPr>
          <w:rFonts w:ascii="Times New Roman" w:cs="Times New Roman" w:hAnsi="Times New Roman"/>
          <w:sz w:val="24"/>
          <w:szCs w:val="24"/>
        </w:rPr>
        <w:t>Nonprofit</w:t>
      </w:r>
      <w:r>
        <w:rPr>
          <w:rFonts w:ascii="Times New Roman" w:cs="Times New Roman" w:hAnsi="Times New Roman"/>
          <w:sz w:val="24"/>
          <w:szCs w:val="24"/>
        </w:rPr>
        <w:t xml:space="preserve"> Subsector in the United States: International Understanding, International Development and Assistance, and International Affairs.</w:t>
      </w:r>
    </w:p>
    <w:p>
      <w:pPr>
        <w:pStyle w:val="style0"/>
        <w:autoSpaceDE w:val="false"/>
        <w:autoSpaceDN w:val="false"/>
        <w:adjustRightInd w:val="false"/>
        <w:spacing w:after="0" w:lineRule="auto" w:line="480"/>
        <w:ind w:left="567" w:hanging="567"/>
        <w:rPr>
          <w:rFonts w:ascii="Times New Roman" w:cs="Times New Roman" w:hAnsi="Times New Roman"/>
          <w:sz w:val="24"/>
          <w:szCs w:val="24"/>
        </w:rPr>
      </w:pPr>
      <w:r>
        <w:rPr>
          <w:rFonts w:ascii="Times New Roman" w:cs="Times New Roman" w:hAnsi="Times New Roman"/>
          <w:sz w:val="24"/>
          <w:szCs w:val="24"/>
        </w:rPr>
        <w:t xml:space="preserve">Root, F. R. (1987). </w:t>
      </w:r>
      <w:r>
        <w:rPr>
          <w:rFonts w:ascii="Times New Roman" w:cs="Times New Roman" w:hAnsi="Times New Roman"/>
          <w:i/>
          <w:iCs/>
          <w:sz w:val="24"/>
          <w:szCs w:val="24"/>
        </w:rPr>
        <w:t>Entry Strategies for International Market</w:t>
      </w:r>
      <w:r>
        <w:rPr>
          <w:rFonts w:ascii="Times New Roman" w:cs="Times New Roman" w:hAnsi="Times New Roman"/>
          <w:sz w:val="24"/>
          <w:szCs w:val="24"/>
        </w:rPr>
        <w:t>.</w:t>
      </w:r>
      <w:r>
        <w:rPr>
          <w:rFonts w:ascii="Times New Roman" w:cs="Times New Roman" w:hAnsi="Times New Roman"/>
          <w:sz w:val="24"/>
          <w:szCs w:val="24"/>
        </w:rPr>
        <w:t xml:space="preserve"> Lexington, MA: Lexington Books.</w:t>
      </w:r>
    </w:p>
    <w:p>
      <w:pPr>
        <w:pStyle w:val="style0"/>
        <w:autoSpaceDE w:val="false"/>
        <w:autoSpaceDN w:val="false"/>
        <w:adjustRightInd w:val="false"/>
        <w:spacing w:after="0" w:lineRule="auto" w:line="480"/>
        <w:ind w:left="567" w:hanging="567"/>
        <w:rPr>
          <w:rFonts w:ascii="Times New Roman" w:cs="Times New Roman" w:hAnsi="Times New Roman"/>
          <w:sz w:val="24"/>
          <w:szCs w:val="24"/>
        </w:rPr>
      </w:pPr>
      <w:r>
        <w:rPr>
          <w:rFonts w:ascii="Times New Roman" w:cs="Times New Roman" w:hAnsi="Times New Roman"/>
          <w:sz w:val="24"/>
          <w:szCs w:val="24"/>
        </w:rPr>
        <w:t>Siméant</w:t>
      </w:r>
      <w:r>
        <w:rPr>
          <w:rFonts w:ascii="Times New Roman" w:cs="Times New Roman" w:hAnsi="Times New Roman"/>
          <w:sz w:val="24"/>
          <w:szCs w:val="24"/>
        </w:rPr>
        <w:t xml:space="preserve">, J. (2005). What is going global? </w:t>
      </w:r>
      <w:r>
        <w:rPr>
          <w:rFonts w:ascii="Times New Roman" w:cs="Times New Roman" w:hAnsi="Times New Roman"/>
          <w:sz w:val="24"/>
          <w:szCs w:val="24"/>
        </w:rPr>
        <w:t>The internationalization of French NGOs ‘without borders’*.</w:t>
      </w:r>
      <w:r>
        <w:rPr>
          <w:rFonts w:ascii="Times New Roman" w:cs="Times New Roman" w:hAnsi="Times New Roman"/>
          <w:sz w:val="24"/>
          <w:szCs w:val="24"/>
        </w:rPr>
        <w:t xml:space="preserve"> </w:t>
      </w:r>
      <w:r>
        <w:rPr>
          <w:rFonts w:ascii="Times New Roman" w:cs="Times New Roman" w:hAnsi="Times New Roman"/>
          <w:i/>
          <w:iCs/>
          <w:sz w:val="24"/>
          <w:szCs w:val="24"/>
        </w:rPr>
        <w:t>Review of International Political Economy, 12</w:t>
      </w:r>
      <w:r>
        <w:rPr>
          <w:rFonts w:ascii="Times New Roman" w:cs="Times New Roman" w:hAnsi="Times New Roman"/>
          <w:sz w:val="24"/>
          <w:szCs w:val="24"/>
        </w:rPr>
        <w:t>(5), 851-883.</w:t>
      </w:r>
    </w:p>
    <w:p>
      <w:pPr>
        <w:pStyle w:val="style0"/>
        <w:autoSpaceDE w:val="false"/>
        <w:autoSpaceDN w:val="false"/>
        <w:adjustRightInd w:val="false"/>
        <w:spacing w:after="0" w:lineRule="auto" w:line="480"/>
        <w:ind w:left="567" w:hanging="567"/>
        <w:rPr>
          <w:rFonts w:ascii="Times New Roman" w:cs="Times New Roman" w:hAnsi="Times New Roman"/>
          <w:sz w:val="24"/>
          <w:szCs w:val="24"/>
        </w:rPr>
      </w:pPr>
      <w:r>
        <w:rPr>
          <w:rFonts w:ascii="Times New Roman" w:cs="Times New Roman" w:hAnsi="Times New Roman"/>
          <w:sz w:val="24"/>
          <w:szCs w:val="24"/>
        </w:rPr>
        <w:t>Speckbacher</w:t>
      </w:r>
      <w:r>
        <w:rPr>
          <w:rFonts w:ascii="Times New Roman" w:cs="Times New Roman" w:hAnsi="Times New Roman"/>
          <w:sz w:val="24"/>
          <w:szCs w:val="24"/>
        </w:rPr>
        <w:t xml:space="preserve">, G. (2003). </w:t>
      </w:r>
      <w:r>
        <w:rPr>
          <w:rFonts w:ascii="Times New Roman" w:cs="Times New Roman" w:hAnsi="Times New Roman"/>
          <w:sz w:val="24"/>
          <w:szCs w:val="24"/>
        </w:rPr>
        <w:t xml:space="preserve">The economics of performance management in </w:t>
      </w:r>
      <w:r>
        <w:rPr>
          <w:rFonts w:ascii="Times New Roman" w:cs="Times New Roman" w:hAnsi="Times New Roman"/>
          <w:sz w:val="24"/>
          <w:szCs w:val="24"/>
        </w:rPr>
        <w:t>nonprofit</w:t>
      </w:r>
      <w:r>
        <w:rPr>
          <w:rFonts w:ascii="Times New Roman" w:cs="Times New Roman" w:hAnsi="Times New Roman"/>
          <w:sz w:val="24"/>
          <w:szCs w:val="24"/>
        </w:rPr>
        <w:t xml:space="preserve"> organizations.</w:t>
      </w:r>
      <w:r>
        <w:rPr>
          <w:rFonts w:ascii="Times New Roman" w:cs="Times New Roman" w:hAnsi="Times New Roman"/>
          <w:sz w:val="24"/>
          <w:szCs w:val="24"/>
        </w:rPr>
        <w:t xml:space="preserve"> </w:t>
      </w:r>
      <w:r>
        <w:rPr>
          <w:rFonts w:ascii="Times New Roman" w:cs="Times New Roman" w:hAnsi="Times New Roman"/>
          <w:i/>
          <w:iCs/>
          <w:sz w:val="24"/>
          <w:szCs w:val="24"/>
        </w:rPr>
        <w:t>Nonprofit</w:t>
      </w:r>
      <w:r>
        <w:rPr>
          <w:rFonts w:ascii="Times New Roman" w:cs="Times New Roman" w:hAnsi="Times New Roman"/>
          <w:i/>
          <w:iCs/>
          <w:sz w:val="24"/>
          <w:szCs w:val="24"/>
        </w:rPr>
        <w:t xml:space="preserve"> management and leadership, 13</w:t>
      </w:r>
      <w:r>
        <w:rPr>
          <w:rFonts w:ascii="Times New Roman" w:cs="Times New Roman" w:hAnsi="Times New Roman"/>
          <w:sz w:val="24"/>
          <w:szCs w:val="24"/>
        </w:rPr>
        <w:t>(3), 267-281.</w:t>
      </w:r>
    </w:p>
    <w:p>
      <w:pPr>
        <w:pStyle w:val="style0"/>
        <w:spacing w:lineRule="auto" w:line="480"/>
        <w:rPr>
          <w:rFonts w:ascii="Times New Roman" w:cs="Times New Roman" w:hAnsi="Times New Roman"/>
          <w:sz w:val="24"/>
          <w:szCs w:val="24"/>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GB"/>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Words>2868</Words>
  <Pages>12</Pages>
  <Characters>16939</Characters>
  <Application>WPS Office</Application>
  <DocSecurity>0</DocSecurity>
  <Paragraphs>69</Paragraphs>
  <ScaleCrop>false</ScaleCrop>
  <Company>Hewlett-Packard</Company>
  <LinksUpToDate>false</LinksUpToDate>
  <CharactersWithSpaces>19782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2018-11-11T20:22:00Z</dcterms:created>
  <dc:creator>User</dc:creator>
  <lastModifiedBy>Infinix S2 Pro</lastModifiedBy>
  <dcterms:modified xsi:type="dcterms:W3CDTF">2018-11-11T23:22:35Z</dcterms:modified>
  <revision>6</revision>
</coreProperties>
</file>

<file path=docProps/custom.xml><?xml version="1.0" encoding="utf-8"?>
<Properties xmlns="http://schemas.openxmlformats.org/officeDocument/2006/custom-properties" xmlns:vt="http://schemas.openxmlformats.org/officeDocument/2006/docPropsVTypes"/>
</file>